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A9D" w14:textId="77777777" w:rsidR="00961D5C" w:rsidRPr="00ED1B3F" w:rsidRDefault="00961D5C" w:rsidP="00961D5C">
      <w:pPr>
        <w:rPr>
          <w:rFonts w:cstheme="minorHAnsi"/>
          <w:b/>
        </w:rPr>
      </w:pPr>
      <w:r w:rsidRPr="00ED1B3F">
        <w:rPr>
          <w:rFonts w:cstheme="minorHAnsi"/>
          <w:b/>
        </w:rPr>
        <w:t>Self-funded/Sponsored PhD Project information</w:t>
      </w:r>
    </w:p>
    <w:p w14:paraId="47FD1553" w14:textId="77777777" w:rsidR="00961D5C" w:rsidRPr="00ED1B3F" w:rsidRDefault="00961D5C" w:rsidP="00961D5C">
      <w:pPr>
        <w:rPr>
          <w:rFonts w:cstheme="minorHAnsi"/>
          <w:b/>
        </w:rPr>
      </w:pPr>
    </w:p>
    <w:p w14:paraId="5327E5BF" w14:textId="01D7BDBF" w:rsidR="00961D5C" w:rsidRPr="00ED1B3F" w:rsidRDefault="00961D5C" w:rsidP="00961D5C">
      <w:pPr>
        <w:rPr>
          <w:rFonts w:cstheme="minorHAnsi"/>
          <w:b/>
        </w:rPr>
      </w:pPr>
      <w:r w:rsidRPr="00ED1B3F">
        <w:rPr>
          <w:rFonts w:cstheme="minorHAnsi"/>
          <w:b/>
        </w:rPr>
        <w:t xml:space="preserve">Funding Source: </w:t>
      </w:r>
      <w:r w:rsidRPr="00ED1B3F">
        <w:rPr>
          <w:rFonts w:cstheme="minorHAnsi"/>
          <w:bCs/>
        </w:rPr>
        <w:t>Self-funded /own sponsorship</w:t>
      </w:r>
    </w:p>
    <w:p w14:paraId="555AB534" w14:textId="56D30288" w:rsidR="00961D5C" w:rsidRPr="00ED1B3F" w:rsidRDefault="00961D5C" w:rsidP="00961D5C">
      <w:pPr>
        <w:rPr>
          <w:rFonts w:cstheme="minorHAnsi"/>
          <w:bCs/>
        </w:rPr>
      </w:pPr>
      <w:r w:rsidRPr="00ED1B3F">
        <w:rPr>
          <w:rFonts w:cstheme="minorHAnsi"/>
          <w:b/>
        </w:rPr>
        <w:t xml:space="preserve">Proposed start date:  </w:t>
      </w:r>
      <w:r w:rsidRPr="00ED1B3F">
        <w:rPr>
          <w:rFonts w:cstheme="minorHAnsi"/>
          <w:bCs/>
        </w:rPr>
        <w:t>negotiable</w:t>
      </w:r>
    </w:p>
    <w:p w14:paraId="3AEA9FF5" w14:textId="77777777" w:rsidR="00961D5C" w:rsidRPr="00ED1B3F" w:rsidRDefault="00961D5C" w:rsidP="00961D5C">
      <w:pPr>
        <w:rPr>
          <w:rFonts w:cstheme="minorHAnsi"/>
          <w:bCs/>
        </w:rPr>
      </w:pPr>
      <w:r w:rsidRPr="00ED1B3F">
        <w:rPr>
          <w:rFonts w:cstheme="minorHAnsi"/>
          <w:b/>
        </w:rPr>
        <w:t xml:space="preserve">Closing date for applications: </w:t>
      </w:r>
      <w:r w:rsidRPr="00ED1B3F">
        <w:rPr>
          <w:rFonts w:cstheme="minorHAnsi"/>
          <w:bCs/>
        </w:rPr>
        <w:t>open until filled</w:t>
      </w:r>
    </w:p>
    <w:p w14:paraId="5607545E" w14:textId="43C0EEC2" w:rsidR="00961D5C" w:rsidRPr="00ED1B3F" w:rsidRDefault="00961D5C" w:rsidP="00961D5C">
      <w:pPr>
        <w:ind w:left="1440" w:hanging="1440"/>
        <w:rPr>
          <w:rStyle w:val="Hyperlink"/>
          <w:rFonts w:cstheme="minorHAnsi"/>
          <w:color w:val="auto"/>
          <w:u w:val="none"/>
        </w:rPr>
      </w:pPr>
      <w:r w:rsidRPr="00ED1B3F">
        <w:rPr>
          <w:rStyle w:val="Hyperlink"/>
          <w:rFonts w:cstheme="minorHAnsi"/>
          <w:b/>
          <w:color w:val="auto"/>
          <w:u w:val="none"/>
        </w:rPr>
        <w:t xml:space="preserve">Eligibility: </w:t>
      </w:r>
      <w:r w:rsidRPr="00ED1B3F">
        <w:rPr>
          <w:rStyle w:val="Hyperlink"/>
          <w:rFonts w:cstheme="minorHAnsi"/>
          <w:color w:val="auto"/>
          <w:u w:val="none"/>
        </w:rPr>
        <w:t>UK &amp; International</w:t>
      </w:r>
    </w:p>
    <w:p w14:paraId="5B9465E9" w14:textId="49FCE78D" w:rsidR="00ED1B3F" w:rsidRPr="00ED1B3F" w:rsidRDefault="00ED1B3F" w:rsidP="00961D5C">
      <w:pPr>
        <w:ind w:left="1440" w:hanging="1440"/>
        <w:rPr>
          <w:rStyle w:val="Hyperlink"/>
          <w:rFonts w:cstheme="minorHAnsi"/>
          <w:color w:val="auto"/>
          <w:u w:val="none"/>
        </w:rPr>
      </w:pPr>
      <w:r w:rsidRPr="00ED1B3F">
        <w:rPr>
          <w:rStyle w:val="Hyperlink"/>
          <w:rFonts w:cstheme="minorHAnsi"/>
          <w:b/>
          <w:color w:val="auto"/>
          <w:u w:val="none"/>
        </w:rPr>
        <w:t>Home fee:</w:t>
      </w:r>
      <w:r w:rsidRPr="00ED1B3F">
        <w:rPr>
          <w:rStyle w:val="Hyperlink"/>
          <w:rFonts w:cstheme="minorHAnsi"/>
          <w:color w:val="auto"/>
          <w:u w:val="none"/>
        </w:rPr>
        <w:t xml:space="preserve"> </w:t>
      </w:r>
      <w:r w:rsidRPr="00ED1B3F">
        <w:rPr>
          <w:rFonts w:cstheme="minorHAnsi"/>
          <w:color w:val="3C3C3C"/>
          <w:shd w:val="clear" w:color="auto" w:fill="FFFFFF"/>
        </w:rPr>
        <w:t>£5,00</w:t>
      </w:r>
      <w:r w:rsidR="008E3369">
        <w:rPr>
          <w:rFonts w:cstheme="minorHAnsi"/>
          <w:color w:val="3C3C3C"/>
          <w:shd w:val="clear" w:color="auto" w:fill="FFFFFF"/>
        </w:rPr>
        <w:t>6</w:t>
      </w:r>
      <w:r w:rsidRPr="00ED1B3F">
        <w:rPr>
          <w:rFonts w:cstheme="minorHAnsi"/>
          <w:color w:val="3C3C3C"/>
          <w:shd w:val="clear" w:color="auto" w:fill="FFFFFF"/>
        </w:rPr>
        <w:t xml:space="preserve"> (2025/6 fee) plus 1.5k pa RTSG/bench fees</w:t>
      </w:r>
    </w:p>
    <w:p w14:paraId="0449039E" w14:textId="7D15ADFE" w:rsidR="00ED1B3F" w:rsidRPr="00ED1B3F" w:rsidRDefault="00961D5C" w:rsidP="00ED1B3F">
      <w:pPr>
        <w:pStyle w:val="Default"/>
        <w:rPr>
          <w:rFonts w:asciiTheme="minorHAnsi" w:hAnsiTheme="minorHAnsi" w:cstheme="minorHAnsi"/>
          <w:sz w:val="22"/>
          <w:szCs w:val="22"/>
        </w:rPr>
      </w:pPr>
      <w:r w:rsidRPr="00ED1B3F">
        <w:rPr>
          <w:rFonts w:asciiTheme="minorHAnsi" w:hAnsiTheme="minorHAnsi" w:cstheme="minorHAnsi"/>
          <w:b/>
          <w:sz w:val="22"/>
          <w:szCs w:val="22"/>
        </w:rPr>
        <w:t xml:space="preserve">Tuition fee band: </w:t>
      </w:r>
      <w:r w:rsidR="00ED1B3F" w:rsidRPr="00ED1B3F">
        <w:rPr>
          <w:rFonts w:asciiTheme="minorHAnsi" w:hAnsiTheme="minorHAnsi" w:cstheme="minorHAnsi"/>
          <w:b/>
          <w:sz w:val="22"/>
          <w:szCs w:val="22"/>
        </w:rPr>
        <w:t>Band 3 £</w:t>
      </w:r>
      <w:r w:rsidR="00ED1B3F" w:rsidRPr="00ED1B3F">
        <w:rPr>
          <w:rFonts w:asciiTheme="minorHAnsi" w:hAnsiTheme="minorHAnsi" w:cstheme="minorHAnsi"/>
          <w:sz w:val="22"/>
          <w:szCs w:val="22"/>
        </w:rPr>
        <w:t>25,350 pa, to cover baseline fee and 1.5k pa RTSG/bench fees</w:t>
      </w:r>
    </w:p>
    <w:p w14:paraId="56A5C072" w14:textId="77777777" w:rsidR="00ED1B3F" w:rsidRDefault="00ED1B3F" w:rsidP="00961D5C">
      <w:pPr>
        <w:ind w:left="1440" w:hanging="1440"/>
        <w:rPr>
          <w:rFonts w:cstheme="minorHAnsi"/>
          <w:b/>
        </w:rPr>
      </w:pPr>
    </w:p>
    <w:p w14:paraId="7E5A0A74" w14:textId="75076B3F" w:rsidR="00961D5C" w:rsidRPr="00ED1B3F" w:rsidRDefault="00961D5C" w:rsidP="00961D5C">
      <w:pPr>
        <w:ind w:left="1440" w:hanging="1440"/>
        <w:rPr>
          <w:rFonts w:cstheme="minorHAnsi"/>
        </w:rPr>
      </w:pPr>
      <w:r w:rsidRPr="00ED1B3F">
        <w:rPr>
          <w:rFonts w:cstheme="minorHAnsi"/>
          <w:b/>
        </w:rPr>
        <w:t>Department/School:</w:t>
      </w:r>
      <w:r w:rsidRPr="00ED1B3F">
        <w:rPr>
          <w:rFonts w:cstheme="minorHAnsi"/>
        </w:rPr>
        <w:t xml:space="preserve">  </w:t>
      </w:r>
      <w:r w:rsidRPr="00ED1B3F">
        <w:rPr>
          <w:rFonts w:cstheme="minorHAnsi"/>
        </w:rPr>
        <w:tab/>
        <w:t>Healthcare</w:t>
      </w:r>
      <w:r w:rsidR="00ED1B3F">
        <w:rPr>
          <w:rFonts w:cstheme="minorHAnsi"/>
        </w:rPr>
        <w:t xml:space="preserve"> / Pharmacy Practice</w:t>
      </w:r>
    </w:p>
    <w:p w14:paraId="1E68C776" w14:textId="56321B4C" w:rsidR="00961D5C" w:rsidRPr="00ED1B3F" w:rsidRDefault="00961D5C" w:rsidP="00961D5C">
      <w:pPr>
        <w:rPr>
          <w:rFonts w:cstheme="minorHAnsi"/>
        </w:rPr>
      </w:pPr>
      <w:r w:rsidRPr="00ED1B3F">
        <w:rPr>
          <w:rFonts w:cstheme="minorHAnsi"/>
          <w:b/>
        </w:rPr>
        <w:t>Supervisors:</w:t>
      </w:r>
      <w:r w:rsidRPr="00ED1B3F">
        <w:rPr>
          <w:rFonts w:cstheme="minorHAnsi"/>
        </w:rPr>
        <w:t xml:space="preserve">  David Wright. </w:t>
      </w:r>
      <w:hyperlink r:id="rId6" w:history="1">
        <w:r w:rsidRPr="00ED1B3F">
          <w:rPr>
            <w:rStyle w:val="Hyperlink"/>
            <w:rFonts w:cstheme="minorHAnsi"/>
          </w:rPr>
          <w:t>d.j.wright@leicester.ac.uk</w:t>
        </w:r>
      </w:hyperlink>
      <w:r w:rsidRPr="00ED1B3F">
        <w:rPr>
          <w:rFonts w:cstheme="minorHAnsi"/>
        </w:rPr>
        <w:t xml:space="preserve">, </w:t>
      </w:r>
      <w:proofErr w:type="spellStart"/>
      <w:r w:rsidRPr="00ED1B3F">
        <w:rPr>
          <w:rFonts w:cstheme="minorHAnsi"/>
        </w:rPr>
        <w:t>Nadiyah</w:t>
      </w:r>
      <w:proofErr w:type="spellEnd"/>
      <w:r w:rsidRPr="00ED1B3F">
        <w:rPr>
          <w:rFonts w:cstheme="minorHAnsi"/>
        </w:rPr>
        <w:t xml:space="preserve"> Bahadur </w:t>
      </w:r>
      <w:hyperlink r:id="rId7" w:history="1">
        <w:r w:rsidRPr="00ED1B3F">
          <w:rPr>
            <w:rStyle w:val="Hyperlink"/>
            <w:rFonts w:cstheme="minorHAnsi"/>
          </w:rPr>
          <w:t>n.bahadur@leicester.ac.uk</w:t>
        </w:r>
      </w:hyperlink>
      <w:r w:rsidRPr="00ED1B3F">
        <w:rPr>
          <w:rFonts w:cstheme="minorHAnsi"/>
        </w:rPr>
        <w:t xml:space="preserve">, </w:t>
      </w:r>
      <w:r w:rsidR="0042172D">
        <w:rPr>
          <w:rFonts w:cstheme="minorHAnsi"/>
        </w:rPr>
        <w:t xml:space="preserve">Dan Greenwood </w:t>
      </w:r>
      <w:hyperlink r:id="rId8" w:history="1">
        <w:r w:rsidR="0042172D">
          <w:rPr>
            <w:rStyle w:val="Hyperlink"/>
          </w:rPr>
          <w:t>Dan.greenwood@leicester.ac.uk</w:t>
        </w:r>
      </w:hyperlink>
    </w:p>
    <w:p w14:paraId="34B8B73C" w14:textId="7CD5BA05" w:rsidR="00961D5C" w:rsidRPr="00ED1B3F" w:rsidRDefault="00961D5C" w:rsidP="00961D5C">
      <w:pPr>
        <w:pStyle w:val="NoSpacing"/>
        <w:rPr>
          <w:rFonts w:cstheme="minorHAnsi"/>
          <w:b/>
          <w:i/>
          <w:iCs/>
        </w:rPr>
      </w:pPr>
      <w:r w:rsidRPr="00ED1B3F">
        <w:rPr>
          <w:rFonts w:cstheme="minorHAnsi"/>
          <w:b/>
        </w:rPr>
        <w:t xml:space="preserve">Project Title:  </w:t>
      </w:r>
      <w:r w:rsidRPr="00ED1B3F">
        <w:rPr>
          <w:rFonts w:cstheme="minorHAnsi"/>
          <w:b/>
          <w:i/>
          <w:iCs/>
        </w:rPr>
        <w:t>PhD in Pharmacy Practice -</w:t>
      </w:r>
      <w:r w:rsidRPr="00ED1B3F">
        <w:rPr>
          <w:rFonts w:cstheme="minorHAnsi"/>
          <w:bCs/>
          <w:i/>
          <w:iCs/>
        </w:rPr>
        <w:t xml:space="preserve"> Longitudinal Placements within the Undergraduate Pharmacy Degree: Defining the value</w:t>
      </w:r>
    </w:p>
    <w:p w14:paraId="0B90546D" w14:textId="77777777" w:rsidR="00D408A7" w:rsidRPr="00ED1B3F" w:rsidRDefault="00D408A7" w:rsidP="00DC7AB5">
      <w:pPr>
        <w:pStyle w:val="NoSpacing"/>
        <w:rPr>
          <w:rFonts w:cstheme="minorHAnsi"/>
          <w:b/>
        </w:rPr>
      </w:pPr>
    </w:p>
    <w:p w14:paraId="7049ACA9" w14:textId="064BDE7F" w:rsidR="00186CBA" w:rsidRPr="00ED1B3F" w:rsidRDefault="00186CBA" w:rsidP="00186CBA">
      <w:pPr>
        <w:ind w:left="1440" w:hanging="1440"/>
        <w:rPr>
          <w:rFonts w:cstheme="minorHAnsi"/>
          <w:b/>
          <w:bCs/>
        </w:rPr>
      </w:pPr>
      <w:r w:rsidRPr="00ED1B3F">
        <w:rPr>
          <w:rFonts w:cstheme="minorHAnsi"/>
          <w:b/>
          <w:bCs/>
        </w:rPr>
        <w:t>Project Description:</w:t>
      </w:r>
    </w:p>
    <w:p w14:paraId="6ED73411" w14:textId="4BA109A7" w:rsidR="0009661B" w:rsidRPr="00ED1B3F" w:rsidRDefault="006E66EF" w:rsidP="006E66EF">
      <w:pPr>
        <w:rPr>
          <w:rFonts w:cstheme="minorHAnsi"/>
        </w:rPr>
      </w:pPr>
      <w:r w:rsidRPr="00ED1B3F">
        <w:rPr>
          <w:rFonts w:cstheme="minorHAnsi"/>
        </w:rPr>
        <w:t>Longitudinal placements, defined as a minimum of 13 weeks of continuous learning in the workplace, optimise student experiential learning as they enable students to be effectively inducted into the workplace, develop a role within the team and increase autonomy as the placement progresses.</w:t>
      </w:r>
      <w:r w:rsidR="005E4936" w:rsidRPr="00ED1B3F">
        <w:rPr>
          <w:rFonts w:cstheme="minorHAnsi"/>
          <w:vertAlign w:val="superscript"/>
        </w:rPr>
        <w:t>1</w:t>
      </w:r>
      <w:r w:rsidRPr="00ED1B3F">
        <w:rPr>
          <w:rFonts w:cstheme="minorHAnsi"/>
        </w:rPr>
        <w:t xml:space="preserve"> Furthermore</w:t>
      </w:r>
      <w:r w:rsidR="002A36CA" w:rsidRPr="00ED1B3F">
        <w:rPr>
          <w:rFonts w:cstheme="minorHAnsi"/>
        </w:rPr>
        <w:t>,</w:t>
      </w:r>
      <w:r w:rsidRPr="00ED1B3F">
        <w:rPr>
          <w:rFonts w:cstheme="minorHAnsi"/>
        </w:rPr>
        <w:t xml:space="preserve"> the extended duration, compared to many undergraduate healthcare professional placements</w:t>
      </w:r>
      <w:r w:rsidR="002A36CA" w:rsidRPr="00ED1B3F">
        <w:rPr>
          <w:rFonts w:cstheme="minorHAnsi"/>
        </w:rPr>
        <w:t>, results in placement providers investing more time in the placement student in recognition of the fact that the</w:t>
      </w:r>
      <w:r w:rsidR="005E4936" w:rsidRPr="00ED1B3F">
        <w:rPr>
          <w:rFonts w:cstheme="minorHAnsi"/>
        </w:rPr>
        <w:t>y will</w:t>
      </w:r>
      <w:r w:rsidR="000369E2" w:rsidRPr="00ED1B3F">
        <w:rPr>
          <w:rFonts w:cstheme="minorHAnsi"/>
        </w:rPr>
        <w:t xml:space="preserve"> be able to</w:t>
      </w:r>
      <w:r w:rsidR="005E4936" w:rsidRPr="00ED1B3F">
        <w:rPr>
          <w:rFonts w:cstheme="minorHAnsi"/>
        </w:rPr>
        <w:t xml:space="preserve"> eventually contribute positively to patient care</w:t>
      </w:r>
      <w:r w:rsidR="002A36CA" w:rsidRPr="00ED1B3F">
        <w:rPr>
          <w:rFonts w:cstheme="minorHAnsi"/>
        </w:rPr>
        <w:t>.</w:t>
      </w:r>
      <w:r w:rsidR="005E4936" w:rsidRPr="00ED1B3F">
        <w:rPr>
          <w:rFonts w:cstheme="minorHAnsi"/>
          <w:vertAlign w:val="superscript"/>
        </w:rPr>
        <w:t>2</w:t>
      </w:r>
    </w:p>
    <w:p w14:paraId="2D33623E" w14:textId="49D4629F" w:rsidR="00F97D52" w:rsidRPr="00ED1B3F" w:rsidRDefault="005E4936" w:rsidP="00DC7AB5">
      <w:pPr>
        <w:pStyle w:val="NoSpacing"/>
        <w:rPr>
          <w:rFonts w:cstheme="minorHAnsi"/>
          <w:bCs/>
        </w:rPr>
      </w:pPr>
      <w:r w:rsidRPr="00ED1B3F">
        <w:rPr>
          <w:rFonts w:cstheme="minorHAnsi"/>
          <w:bCs/>
        </w:rPr>
        <w:t>Longitudinal placements or clerkships</w:t>
      </w:r>
      <w:r w:rsidR="009770CB" w:rsidRPr="00ED1B3F">
        <w:rPr>
          <w:rFonts w:cstheme="minorHAnsi"/>
          <w:bCs/>
        </w:rPr>
        <w:t>, initiated</w:t>
      </w:r>
      <w:r w:rsidR="00A40B05" w:rsidRPr="00ED1B3F">
        <w:rPr>
          <w:rFonts w:cstheme="minorHAnsi"/>
          <w:bCs/>
        </w:rPr>
        <w:t xml:space="preserve"> originally</w:t>
      </w:r>
      <w:r w:rsidR="009770CB" w:rsidRPr="00ED1B3F">
        <w:rPr>
          <w:rFonts w:cstheme="minorHAnsi"/>
          <w:bCs/>
        </w:rPr>
        <w:t xml:space="preserve"> by the medical profession, have been tested within</w:t>
      </w:r>
      <w:r w:rsidR="00A40B05" w:rsidRPr="00ED1B3F">
        <w:rPr>
          <w:rFonts w:cstheme="minorHAnsi"/>
          <w:bCs/>
        </w:rPr>
        <w:t xml:space="preserve"> the</w:t>
      </w:r>
      <w:r w:rsidR="009770CB" w:rsidRPr="00ED1B3F">
        <w:rPr>
          <w:rFonts w:cstheme="minorHAnsi"/>
          <w:bCs/>
        </w:rPr>
        <w:t xml:space="preserve"> pharmacy </w:t>
      </w:r>
      <w:r w:rsidR="00A40B05" w:rsidRPr="00ED1B3F">
        <w:rPr>
          <w:rFonts w:cstheme="minorHAnsi"/>
          <w:bCs/>
        </w:rPr>
        <w:t>profession in the pre-registration year on hospital wards</w:t>
      </w:r>
      <w:r w:rsidR="009770CB" w:rsidRPr="00ED1B3F">
        <w:rPr>
          <w:rFonts w:cstheme="minorHAnsi"/>
          <w:bCs/>
        </w:rPr>
        <w:t xml:space="preserve"> in the UK.</w:t>
      </w:r>
      <w:r w:rsidR="009770CB" w:rsidRPr="00ED1B3F">
        <w:rPr>
          <w:rFonts w:cstheme="minorHAnsi"/>
        </w:rPr>
        <w:t xml:space="preserve"> </w:t>
      </w:r>
      <w:r w:rsidR="009770CB" w:rsidRPr="00ED1B3F">
        <w:rPr>
          <w:rFonts w:cstheme="minorHAnsi"/>
          <w:bCs/>
        </w:rPr>
        <w:t>Pharmacy trainees were found to gain membership within the multi-disciplinary ward team over time, and as they gained more autonomy this resulted in an enhanced learning experience. The extended period of the placement enabled them to make a greater contribution to patient care, provide more medicines-related consultations and reportedly improve discharge times.</w:t>
      </w:r>
      <w:r w:rsidR="009770CB" w:rsidRPr="00ED1B3F">
        <w:rPr>
          <w:rFonts w:cstheme="minorHAnsi"/>
          <w:bCs/>
          <w:vertAlign w:val="superscript"/>
        </w:rPr>
        <w:t>3</w:t>
      </w:r>
    </w:p>
    <w:p w14:paraId="627E62FC" w14:textId="73D8407B" w:rsidR="005E4936" w:rsidRPr="00ED1B3F" w:rsidRDefault="005E4936" w:rsidP="00DC7AB5">
      <w:pPr>
        <w:pStyle w:val="NoSpacing"/>
        <w:rPr>
          <w:rFonts w:cstheme="minorHAnsi"/>
          <w:bCs/>
        </w:rPr>
      </w:pPr>
    </w:p>
    <w:p w14:paraId="4A2EB3E8" w14:textId="10169306" w:rsidR="00A40B05" w:rsidRPr="00ED1B3F" w:rsidRDefault="00A40B05" w:rsidP="00DC7AB5">
      <w:pPr>
        <w:pStyle w:val="NoSpacing"/>
        <w:rPr>
          <w:rFonts w:cstheme="minorHAnsi"/>
          <w:bCs/>
        </w:rPr>
      </w:pPr>
      <w:r w:rsidRPr="00ED1B3F">
        <w:rPr>
          <w:rFonts w:cstheme="minorHAnsi"/>
          <w:bCs/>
        </w:rPr>
        <w:t>The value of longitudinal clerkships within the undergraduate pharmacy curriculum is currently unknown.  A recent UK government initiative to fund up to 40 weeks of experiential learning within the pharmacy undergraduate years provides an opportunity to assess the educational value of longitudinal clerkships, rather than</w:t>
      </w:r>
      <w:r w:rsidR="000369E2" w:rsidRPr="00ED1B3F">
        <w:rPr>
          <w:rFonts w:cstheme="minorHAnsi"/>
          <w:bCs/>
        </w:rPr>
        <w:t xml:space="preserve"> the usual</w:t>
      </w:r>
      <w:r w:rsidRPr="00ED1B3F">
        <w:rPr>
          <w:rFonts w:cstheme="minorHAnsi"/>
          <w:bCs/>
        </w:rPr>
        <w:t xml:space="preserve"> shorter duration placements.</w:t>
      </w:r>
    </w:p>
    <w:p w14:paraId="5269EA85" w14:textId="77777777" w:rsidR="00A40B05" w:rsidRPr="00ED1B3F" w:rsidRDefault="00A40B05" w:rsidP="00DC7AB5">
      <w:pPr>
        <w:pStyle w:val="NoSpacing"/>
        <w:rPr>
          <w:rFonts w:cstheme="minorHAnsi"/>
          <w:bCs/>
        </w:rPr>
      </w:pPr>
    </w:p>
    <w:p w14:paraId="02CBFF63" w14:textId="64E8541B" w:rsidR="000369E2" w:rsidRPr="00ED1B3F" w:rsidRDefault="009770CB" w:rsidP="00DC7AB5">
      <w:pPr>
        <w:pStyle w:val="NoSpacing"/>
        <w:rPr>
          <w:rFonts w:cstheme="minorHAnsi"/>
          <w:bCs/>
        </w:rPr>
      </w:pPr>
      <w:r w:rsidRPr="00ED1B3F">
        <w:rPr>
          <w:rFonts w:cstheme="minorHAnsi"/>
          <w:bCs/>
        </w:rPr>
        <w:t xml:space="preserve">The new </w:t>
      </w:r>
      <w:proofErr w:type="spellStart"/>
      <w:r w:rsidRPr="00ED1B3F">
        <w:rPr>
          <w:rFonts w:cstheme="minorHAnsi"/>
          <w:bCs/>
        </w:rPr>
        <w:t>MPharm</w:t>
      </w:r>
      <w:proofErr w:type="spellEnd"/>
      <w:r w:rsidRPr="00ED1B3F">
        <w:rPr>
          <w:rFonts w:cstheme="minorHAnsi"/>
          <w:bCs/>
        </w:rPr>
        <w:t xml:space="preserve"> program, at the University of Leicester, includes longitudinal placements in each of the first three years of the program, being located in community, primary care or hospital pharmacy settings.  </w:t>
      </w:r>
      <w:r w:rsidR="000369E2" w:rsidRPr="00ED1B3F">
        <w:rPr>
          <w:rFonts w:cstheme="minorHAnsi"/>
          <w:bCs/>
        </w:rPr>
        <w:t xml:space="preserve">Pharmacy students undertake 4 days a week placement for 13 weeks with one day a week assigned for enhancing experiential learning, through related workshops and enabling </w:t>
      </w:r>
      <w:r w:rsidR="000369E2" w:rsidRPr="00ED1B3F">
        <w:rPr>
          <w:rFonts w:cstheme="minorHAnsi"/>
          <w:bCs/>
        </w:rPr>
        <w:lastRenderedPageBreak/>
        <w:t>students to record all assigned learning opportunities and formative assessments into their portfolios.  Reflective essays are created at the end of each placement to inform personal development planning for the oncoming semester and future placements.</w:t>
      </w:r>
    </w:p>
    <w:p w14:paraId="183084BF" w14:textId="77777777" w:rsidR="000369E2" w:rsidRPr="00ED1B3F" w:rsidRDefault="000369E2" w:rsidP="00DC7AB5">
      <w:pPr>
        <w:pStyle w:val="NoSpacing"/>
        <w:rPr>
          <w:rFonts w:cstheme="minorHAnsi"/>
          <w:bCs/>
        </w:rPr>
      </w:pPr>
    </w:p>
    <w:p w14:paraId="5822044C" w14:textId="40BBC42E" w:rsidR="009770CB" w:rsidRPr="00ED1B3F" w:rsidRDefault="009770CB" w:rsidP="00DC7AB5">
      <w:pPr>
        <w:pStyle w:val="NoSpacing"/>
        <w:rPr>
          <w:rFonts w:cstheme="minorHAnsi"/>
          <w:bCs/>
        </w:rPr>
      </w:pPr>
      <w:r w:rsidRPr="00ED1B3F">
        <w:rPr>
          <w:rFonts w:cstheme="minorHAnsi"/>
          <w:bCs/>
        </w:rPr>
        <w:t>The value that this</w:t>
      </w:r>
      <w:r w:rsidR="000369E2" w:rsidRPr="00ED1B3F">
        <w:rPr>
          <w:rFonts w:cstheme="minorHAnsi"/>
          <w:bCs/>
        </w:rPr>
        <w:t xml:space="preserve"> model of education</w:t>
      </w:r>
      <w:r w:rsidRPr="00ED1B3F">
        <w:rPr>
          <w:rFonts w:cstheme="minorHAnsi"/>
          <w:bCs/>
        </w:rPr>
        <w:t xml:space="preserve"> adds to </w:t>
      </w:r>
      <w:r w:rsidR="000369E2" w:rsidRPr="00ED1B3F">
        <w:rPr>
          <w:rFonts w:cstheme="minorHAnsi"/>
          <w:bCs/>
        </w:rPr>
        <w:t>pharmacy student development</w:t>
      </w:r>
      <w:r w:rsidRPr="00ED1B3F">
        <w:rPr>
          <w:rFonts w:cstheme="minorHAnsi"/>
          <w:bCs/>
        </w:rPr>
        <w:t xml:space="preserve"> </w:t>
      </w:r>
      <w:r w:rsidR="00A40B05" w:rsidRPr="00ED1B3F">
        <w:rPr>
          <w:rFonts w:cstheme="minorHAnsi"/>
          <w:bCs/>
        </w:rPr>
        <w:t>would be assessed through</w:t>
      </w:r>
      <w:r w:rsidRPr="00ED1B3F">
        <w:rPr>
          <w:rFonts w:cstheme="minorHAnsi"/>
          <w:bCs/>
        </w:rPr>
        <w:t xml:space="preserve"> this PhD. </w:t>
      </w:r>
    </w:p>
    <w:p w14:paraId="320CC7D1" w14:textId="2F5A7E1C" w:rsidR="009770CB" w:rsidRPr="00ED1B3F" w:rsidRDefault="009770CB" w:rsidP="00DC7AB5">
      <w:pPr>
        <w:pStyle w:val="NoSpacing"/>
        <w:rPr>
          <w:rFonts w:cstheme="minorHAnsi"/>
          <w:bCs/>
        </w:rPr>
      </w:pPr>
    </w:p>
    <w:p w14:paraId="3DA4C234" w14:textId="51D07BA8" w:rsidR="009770CB" w:rsidRPr="00ED1B3F" w:rsidRDefault="009770CB" w:rsidP="00DC7AB5">
      <w:pPr>
        <w:pStyle w:val="NoSpacing"/>
        <w:rPr>
          <w:rFonts w:cstheme="minorHAnsi"/>
          <w:bCs/>
        </w:rPr>
      </w:pPr>
      <w:r w:rsidRPr="00ED1B3F">
        <w:rPr>
          <w:rFonts w:cstheme="minorHAnsi"/>
          <w:bCs/>
        </w:rPr>
        <w:t xml:space="preserve">Underpinned by experiential learning theory the PhD will </w:t>
      </w:r>
      <w:r w:rsidR="000369E2" w:rsidRPr="00ED1B3F">
        <w:rPr>
          <w:rFonts w:cstheme="minorHAnsi"/>
          <w:bCs/>
        </w:rPr>
        <w:t xml:space="preserve">first </w:t>
      </w:r>
      <w:r w:rsidR="00A40B05" w:rsidRPr="00ED1B3F">
        <w:rPr>
          <w:rFonts w:cstheme="minorHAnsi"/>
          <w:bCs/>
        </w:rPr>
        <w:t>review the evidence for longitudinal clerkships to identify the most appropriate experiential learning theory on which to construct subsequent evaluations</w:t>
      </w:r>
      <w:r w:rsidR="000369E2" w:rsidRPr="00ED1B3F">
        <w:rPr>
          <w:rFonts w:cstheme="minorHAnsi"/>
          <w:bCs/>
        </w:rPr>
        <w:t xml:space="preserve"> and define the parameters for evaluation.</w:t>
      </w:r>
    </w:p>
    <w:p w14:paraId="3BFD626B" w14:textId="02B58867" w:rsidR="00A40B05" w:rsidRPr="00ED1B3F" w:rsidRDefault="00A40B05" w:rsidP="00DC7AB5">
      <w:pPr>
        <w:pStyle w:val="NoSpacing"/>
        <w:rPr>
          <w:rFonts w:cstheme="minorHAnsi"/>
          <w:bCs/>
        </w:rPr>
      </w:pPr>
    </w:p>
    <w:p w14:paraId="093E8F9E" w14:textId="30FAA64A" w:rsidR="00A40B05" w:rsidRPr="00ED1B3F" w:rsidRDefault="00A40B05" w:rsidP="00DC7AB5">
      <w:pPr>
        <w:pStyle w:val="NoSpacing"/>
        <w:rPr>
          <w:rFonts w:cstheme="minorHAnsi"/>
          <w:bCs/>
        </w:rPr>
      </w:pPr>
      <w:r w:rsidRPr="00ED1B3F">
        <w:rPr>
          <w:rFonts w:cstheme="minorHAnsi"/>
          <w:bCs/>
        </w:rPr>
        <w:t>A cohort of pharmacy students and their placement supervisors will be interviewed after each placement in years one, two and three to understand how the placements operate, what value their provide to the learner</w:t>
      </w:r>
      <w:r w:rsidR="000369E2" w:rsidRPr="00ED1B3F">
        <w:rPr>
          <w:rFonts w:cstheme="minorHAnsi"/>
          <w:bCs/>
        </w:rPr>
        <w:t xml:space="preserve"> as the course progresses</w:t>
      </w:r>
      <w:r w:rsidRPr="00ED1B3F">
        <w:rPr>
          <w:rFonts w:cstheme="minorHAnsi"/>
          <w:bCs/>
        </w:rPr>
        <w:t xml:space="preserve"> and how the experience can be further optimised to improve learning efficiency.</w:t>
      </w:r>
    </w:p>
    <w:p w14:paraId="4B86C2E3" w14:textId="0BEF662B" w:rsidR="00A40B05" w:rsidRPr="00ED1B3F" w:rsidRDefault="00A40B05" w:rsidP="00DC7AB5">
      <w:pPr>
        <w:pStyle w:val="NoSpacing"/>
        <w:rPr>
          <w:rFonts w:cstheme="minorHAnsi"/>
          <w:bCs/>
        </w:rPr>
      </w:pPr>
    </w:p>
    <w:p w14:paraId="7A2F4214" w14:textId="1ACA4039" w:rsidR="00A40B05" w:rsidRPr="00ED1B3F" w:rsidRDefault="00A40B05" w:rsidP="00DC7AB5">
      <w:pPr>
        <w:pStyle w:val="NoSpacing"/>
        <w:rPr>
          <w:rFonts w:cstheme="minorHAnsi"/>
          <w:bCs/>
        </w:rPr>
      </w:pPr>
      <w:r w:rsidRPr="00ED1B3F">
        <w:rPr>
          <w:rFonts w:cstheme="minorHAnsi"/>
          <w:bCs/>
        </w:rPr>
        <w:t>The PhD would provide an opportunity for an individual to better understand pharmacy education and its evolution, plus how placements or clerkships contribute to knowledge retention and understanding when integrated into the first three years of a pharmacy degree curriculum.</w:t>
      </w:r>
    </w:p>
    <w:p w14:paraId="5C0E8E4A" w14:textId="3575A6F1" w:rsidR="000369E2" w:rsidRPr="00ED1B3F" w:rsidRDefault="000369E2" w:rsidP="00DC7AB5">
      <w:pPr>
        <w:pStyle w:val="NoSpacing"/>
        <w:rPr>
          <w:rFonts w:cstheme="minorHAnsi"/>
          <w:bCs/>
        </w:rPr>
      </w:pPr>
    </w:p>
    <w:p w14:paraId="0235941F" w14:textId="77777777" w:rsidR="00B24449" w:rsidRPr="00ED1B3F" w:rsidRDefault="00B24449" w:rsidP="00DC7AB5">
      <w:pPr>
        <w:pStyle w:val="NoSpacing"/>
        <w:rPr>
          <w:rFonts w:cstheme="minorHAnsi"/>
          <w:b/>
          <w:bCs/>
        </w:rPr>
      </w:pPr>
      <w:r w:rsidRPr="00ED1B3F">
        <w:rPr>
          <w:rFonts w:cstheme="minorHAnsi"/>
          <w:b/>
          <w:bCs/>
        </w:rPr>
        <w:t xml:space="preserve">References: </w:t>
      </w:r>
    </w:p>
    <w:p w14:paraId="4013633E" w14:textId="4659A09E" w:rsidR="005E4936" w:rsidRPr="00ED1B3F" w:rsidRDefault="005E4936" w:rsidP="00DC7AB5">
      <w:pPr>
        <w:pStyle w:val="NoSpacing"/>
        <w:rPr>
          <w:rFonts w:cstheme="minorHAnsi"/>
          <w:bCs/>
        </w:rPr>
      </w:pPr>
      <w:r w:rsidRPr="00ED1B3F">
        <w:rPr>
          <w:rFonts w:cstheme="minorHAnsi"/>
          <w:bCs/>
        </w:rPr>
        <w:t xml:space="preserve">1. Walters L, Greenhill J, Richards J, Ward H, Campbell N, Ash J, </w:t>
      </w:r>
      <w:proofErr w:type="spellStart"/>
      <w:r w:rsidRPr="00ED1B3F">
        <w:rPr>
          <w:rFonts w:cstheme="minorHAnsi"/>
          <w:bCs/>
        </w:rPr>
        <w:t>Schuwirth</w:t>
      </w:r>
      <w:proofErr w:type="spellEnd"/>
      <w:r w:rsidRPr="00ED1B3F">
        <w:rPr>
          <w:rFonts w:cstheme="minorHAnsi"/>
          <w:bCs/>
        </w:rPr>
        <w:t xml:space="preserve"> LW. Outcomes of longitudinal integrated clinical placements for students, clinicians and society. Med Educ. 2012 Nov;46(11):1028-41. </w:t>
      </w:r>
      <w:proofErr w:type="spellStart"/>
      <w:r w:rsidRPr="00ED1B3F">
        <w:rPr>
          <w:rFonts w:cstheme="minorHAnsi"/>
          <w:bCs/>
        </w:rPr>
        <w:t>doi</w:t>
      </w:r>
      <w:proofErr w:type="spellEnd"/>
      <w:r w:rsidRPr="00ED1B3F">
        <w:rPr>
          <w:rFonts w:cstheme="minorHAnsi"/>
          <w:bCs/>
        </w:rPr>
        <w:t>: 10.1111/j.1365-2923.2012.</w:t>
      </w:r>
      <w:proofErr w:type="gramStart"/>
      <w:r w:rsidRPr="00ED1B3F">
        <w:rPr>
          <w:rFonts w:cstheme="minorHAnsi"/>
          <w:bCs/>
        </w:rPr>
        <w:t>04331.x.</w:t>
      </w:r>
      <w:proofErr w:type="gramEnd"/>
      <w:r w:rsidRPr="00ED1B3F">
        <w:rPr>
          <w:rFonts w:cstheme="minorHAnsi"/>
          <w:bCs/>
        </w:rPr>
        <w:t xml:space="preserve"> PMID: 23078680.</w:t>
      </w:r>
    </w:p>
    <w:p w14:paraId="391D98DF" w14:textId="0A3DE94B" w:rsidR="00B24449" w:rsidRPr="00ED1B3F" w:rsidRDefault="00A40B05" w:rsidP="00DC7AB5">
      <w:pPr>
        <w:pStyle w:val="NoSpacing"/>
        <w:rPr>
          <w:rFonts w:cstheme="minorHAnsi"/>
          <w:bCs/>
        </w:rPr>
      </w:pPr>
      <w:r w:rsidRPr="00ED1B3F">
        <w:rPr>
          <w:rFonts w:cstheme="minorHAnsi"/>
          <w:bCs/>
        </w:rPr>
        <w:t xml:space="preserve">2. </w:t>
      </w:r>
      <w:r w:rsidR="00146356" w:rsidRPr="00ED1B3F">
        <w:rPr>
          <w:rFonts w:cstheme="minorHAnsi"/>
          <w:bCs/>
        </w:rPr>
        <w:t xml:space="preserve">John J, Brown ME. The impact of longitudinal integrated clerkships on patient care: a qualitative systematic review. </w:t>
      </w:r>
      <w:proofErr w:type="spellStart"/>
      <w:r w:rsidR="00146356" w:rsidRPr="00ED1B3F">
        <w:rPr>
          <w:rFonts w:cstheme="minorHAnsi"/>
          <w:bCs/>
        </w:rPr>
        <w:t>Educ</w:t>
      </w:r>
      <w:proofErr w:type="spellEnd"/>
      <w:r w:rsidR="00146356" w:rsidRPr="00ED1B3F">
        <w:rPr>
          <w:rFonts w:cstheme="minorHAnsi"/>
          <w:bCs/>
        </w:rPr>
        <w:t xml:space="preserve"> Prim Care. 2022 May;33(3):137-147. </w:t>
      </w:r>
      <w:proofErr w:type="spellStart"/>
      <w:r w:rsidR="00146356" w:rsidRPr="00ED1B3F">
        <w:rPr>
          <w:rFonts w:cstheme="minorHAnsi"/>
          <w:bCs/>
        </w:rPr>
        <w:t>doi</w:t>
      </w:r>
      <w:proofErr w:type="spellEnd"/>
      <w:r w:rsidR="00146356" w:rsidRPr="00ED1B3F">
        <w:rPr>
          <w:rFonts w:cstheme="minorHAnsi"/>
          <w:bCs/>
        </w:rPr>
        <w:t xml:space="preserve">: 10.1080/14739879.2021.1980438. </w:t>
      </w:r>
      <w:proofErr w:type="spellStart"/>
      <w:r w:rsidR="00146356" w:rsidRPr="00ED1B3F">
        <w:rPr>
          <w:rFonts w:cstheme="minorHAnsi"/>
          <w:bCs/>
        </w:rPr>
        <w:t>Epub</w:t>
      </w:r>
      <w:proofErr w:type="spellEnd"/>
      <w:r w:rsidR="00146356" w:rsidRPr="00ED1B3F">
        <w:rPr>
          <w:rFonts w:cstheme="minorHAnsi"/>
          <w:bCs/>
        </w:rPr>
        <w:t xml:space="preserve"> 2021 Oct 26. PMID: 34702143.</w:t>
      </w:r>
    </w:p>
    <w:p w14:paraId="2BD484D5" w14:textId="2F9B819F" w:rsidR="006E66EF" w:rsidRPr="00ED1B3F" w:rsidRDefault="00A40B05" w:rsidP="00DC7AB5">
      <w:pPr>
        <w:pStyle w:val="NoSpacing"/>
        <w:rPr>
          <w:rFonts w:cstheme="minorHAnsi"/>
          <w:bCs/>
        </w:rPr>
      </w:pPr>
      <w:r w:rsidRPr="00ED1B3F">
        <w:rPr>
          <w:rFonts w:cstheme="minorHAnsi"/>
          <w:color w:val="212121"/>
          <w:shd w:val="clear" w:color="auto" w:fill="FFFFFF"/>
        </w:rPr>
        <w:t xml:space="preserve">3. </w:t>
      </w:r>
      <w:r w:rsidR="005E4936" w:rsidRPr="00ED1B3F">
        <w:rPr>
          <w:rFonts w:cstheme="minorHAnsi"/>
          <w:color w:val="212121"/>
          <w:shd w:val="clear" w:color="auto" w:fill="FFFFFF"/>
        </w:rPr>
        <w:t xml:space="preserve">Kinsey H, </w:t>
      </w:r>
      <w:proofErr w:type="spellStart"/>
      <w:r w:rsidR="005E4936" w:rsidRPr="00ED1B3F">
        <w:rPr>
          <w:rFonts w:cstheme="minorHAnsi"/>
          <w:color w:val="212121"/>
          <w:shd w:val="clear" w:color="auto" w:fill="FFFFFF"/>
        </w:rPr>
        <w:t>Sokhi</w:t>
      </w:r>
      <w:proofErr w:type="spellEnd"/>
      <w:r w:rsidR="005E4936" w:rsidRPr="00ED1B3F">
        <w:rPr>
          <w:rFonts w:cstheme="minorHAnsi"/>
          <w:color w:val="212121"/>
          <w:shd w:val="clear" w:color="auto" w:fill="FFFFFF"/>
        </w:rPr>
        <w:t xml:space="preserve"> J, Christou M, Wright D. Longitudinal placements for trainee pharmacists: Learning whilst improving patient care. Med Educ. 2022 Feb;56(2):220-228. </w:t>
      </w:r>
      <w:proofErr w:type="spellStart"/>
      <w:r w:rsidR="005E4936" w:rsidRPr="00ED1B3F">
        <w:rPr>
          <w:rFonts w:cstheme="minorHAnsi"/>
          <w:color w:val="212121"/>
          <w:shd w:val="clear" w:color="auto" w:fill="FFFFFF"/>
        </w:rPr>
        <w:t>doi</w:t>
      </w:r>
      <w:proofErr w:type="spellEnd"/>
      <w:r w:rsidR="005E4936" w:rsidRPr="00ED1B3F">
        <w:rPr>
          <w:rFonts w:cstheme="minorHAnsi"/>
          <w:color w:val="212121"/>
          <w:shd w:val="clear" w:color="auto" w:fill="FFFFFF"/>
        </w:rPr>
        <w:t xml:space="preserve">: 10.1111/medu.14684. </w:t>
      </w:r>
      <w:proofErr w:type="spellStart"/>
      <w:r w:rsidR="005E4936" w:rsidRPr="00ED1B3F">
        <w:rPr>
          <w:rFonts w:cstheme="minorHAnsi"/>
          <w:color w:val="212121"/>
          <w:shd w:val="clear" w:color="auto" w:fill="FFFFFF"/>
        </w:rPr>
        <w:t>Epub</w:t>
      </w:r>
      <w:proofErr w:type="spellEnd"/>
      <w:r w:rsidR="005E4936" w:rsidRPr="00ED1B3F">
        <w:rPr>
          <w:rFonts w:cstheme="minorHAnsi"/>
          <w:color w:val="212121"/>
          <w:shd w:val="clear" w:color="auto" w:fill="FFFFFF"/>
        </w:rPr>
        <w:t xml:space="preserve"> 2021 Nov 19. PMID: 34715721; PMCID: PMC9298918.</w:t>
      </w:r>
    </w:p>
    <w:p w14:paraId="04619BB9" w14:textId="77777777" w:rsidR="005E4936" w:rsidRPr="00ED1B3F" w:rsidRDefault="005E4936" w:rsidP="00DC7AB5">
      <w:pPr>
        <w:spacing w:after="0" w:line="240" w:lineRule="auto"/>
        <w:rPr>
          <w:rFonts w:cstheme="minorHAnsi"/>
          <w:b/>
        </w:rPr>
      </w:pPr>
    </w:p>
    <w:p w14:paraId="7FA393B1" w14:textId="41E38D64" w:rsidR="008E3369" w:rsidRDefault="008E3369" w:rsidP="008E3369">
      <w:pPr>
        <w:rPr>
          <w:rFonts w:cstheme="minorHAnsi"/>
          <w:b/>
        </w:rPr>
      </w:pPr>
      <w:r>
        <w:rPr>
          <w:rFonts w:cstheme="minorHAnsi"/>
          <w:b/>
        </w:rPr>
        <w:t>TO APPLY</w:t>
      </w:r>
    </w:p>
    <w:p w14:paraId="6CA3080F" w14:textId="30B8C3E7" w:rsidR="00DC7AB5" w:rsidRPr="00ED1B3F" w:rsidRDefault="008E3369" w:rsidP="008E3369">
      <w:pPr>
        <w:rPr>
          <w:rFonts w:cstheme="minorHAnsi"/>
        </w:rPr>
      </w:pPr>
      <w:r>
        <w:rPr>
          <w:rFonts w:cstheme="minorHAnsi"/>
          <w:b/>
        </w:rPr>
        <w:t xml:space="preserve">Please follow the application advice and use the application link at </w:t>
      </w:r>
      <w:hyperlink r:id="rId9" w:history="1">
        <w:r w:rsidRPr="00E0522E">
          <w:rPr>
            <w:rStyle w:val="Hyperlink"/>
            <w:rFonts w:cstheme="minorHAnsi"/>
            <w:b/>
          </w:rPr>
          <w:t>https://le.ac.uk/study/research-degrees/research-subjects/school-of-healthcare</w:t>
        </w:r>
      </w:hyperlink>
      <w:r>
        <w:rPr>
          <w:rFonts w:cstheme="minorHAnsi"/>
          <w:b/>
        </w:rPr>
        <w:t xml:space="preserve"> and use the </w:t>
      </w:r>
    </w:p>
    <w:tbl>
      <w:tblPr>
        <w:tblW w:w="8850" w:type="dxa"/>
        <w:tblCellSpacing w:w="0" w:type="dxa"/>
        <w:tblCellMar>
          <w:left w:w="0" w:type="dxa"/>
          <w:right w:w="0" w:type="dxa"/>
        </w:tblCellMar>
        <w:tblLook w:val="04A0" w:firstRow="1" w:lastRow="0" w:firstColumn="1" w:lastColumn="0" w:noHBand="0" w:noVBand="1"/>
      </w:tblPr>
      <w:tblGrid>
        <w:gridCol w:w="8522"/>
        <w:gridCol w:w="328"/>
      </w:tblGrid>
      <w:tr w:rsidR="00B90549" w:rsidRPr="00ED1B3F" w14:paraId="1672650A" w14:textId="77777777" w:rsidTr="00B90549">
        <w:trPr>
          <w:tblCellSpacing w:w="0" w:type="dxa"/>
        </w:trPr>
        <w:tc>
          <w:tcPr>
            <w:tcW w:w="0" w:type="auto"/>
            <w:tcMar>
              <w:top w:w="0" w:type="dxa"/>
              <w:left w:w="150" w:type="dxa"/>
              <w:bottom w:w="0" w:type="dxa"/>
              <w:right w:w="0" w:type="dxa"/>
            </w:tcMar>
          </w:tcPr>
          <w:p w14:paraId="4F0ADC01" w14:textId="16049127" w:rsidR="00B90549" w:rsidRPr="00ED1B3F" w:rsidRDefault="00B90549" w:rsidP="00B90549">
            <w:pPr>
              <w:rPr>
                <w:rFonts w:cstheme="minorHAnsi"/>
                <w:b/>
              </w:rPr>
            </w:pPr>
          </w:p>
        </w:tc>
        <w:tc>
          <w:tcPr>
            <w:tcW w:w="0" w:type="auto"/>
          </w:tcPr>
          <w:p w14:paraId="6EA6F784" w14:textId="77777777" w:rsidR="00B90549" w:rsidRPr="00ED1B3F" w:rsidRDefault="00B90549" w:rsidP="00B90549">
            <w:pPr>
              <w:rPr>
                <w:rFonts w:cstheme="minorHAnsi"/>
                <w:b/>
              </w:rPr>
            </w:pPr>
          </w:p>
        </w:tc>
      </w:tr>
    </w:tbl>
    <w:p w14:paraId="3D9ADB44" w14:textId="5DF5DFAC" w:rsidR="00B90549" w:rsidRPr="00ED1B3F" w:rsidRDefault="00B90549" w:rsidP="00186CBA">
      <w:pPr>
        <w:rPr>
          <w:rFonts w:cstheme="minorHAnsi"/>
          <w:b/>
        </w:rPr>
      </w:pPr>
    </w:p>
    <w:sectPr w:rsidR="00B90549" w:rsidRPr="00ED1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52C3"/>
    <w:multiLevelType w:val="hybridMultilevel"/>
    <w:tmpl w:val="7E7A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6"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F0983"/>
    <w:multiLevelType w:val="hybridMultilevel"/>
    <w:tmpl w:val="3E08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3"/>
  </w:num>
  <w:num w:numId="5">
    <w:abstractNumId w:val="1"/>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dtszrs7f52vnevat4p2fvmf599v9svfffw&quot;&gt;My EndNote Library&lt;record-ids&gt;&lt;item&gt;416&lt;/item&gt;&lt;item&gt;418&lt;/item&gt;&lt;item&gt;520&lt;/item&gt;&lt;item&gt;521&lt;/item&gt;&lt;/record-ids&gt;&lt;/item&gt;&lt;/Libraries&gt;"/>
  </w:docVars>
  <w:rsids>
    <w:rsidRoot w:val="00186CBA"/>
    <w:rsid w:val="0002495F"/>
    <w:rsid w:val="000369E2"/>
    <w:rsid w:val="0009661B"/>
    <w:rsid w:val="000B2A76"/>
    <w:rsid w:val="000B797E"/>
    <w:rsid w:val="00146356"/>
    <w:rsid w:val="00186CBA"/>
    <w:rsid w:val="0019477B"/>
    <w:rsid w:val="0021346A"/>
    <w:rsid w:val="00242BA4"/>
    <w:rsid w:val="002A36CA"/>
    <w:rsid w:val="002A4902"/>
    <w:rsid w:val="002C1707"/>
    <w:rsid w:val="00330074"/>
    <w:rsid w:val="003A7DC7"/>
    <w:rsid w:val="003A7DE6"/>
    <w:rsid w:val="003E3E31"/>
    <w:rsid w:val="0042172D"/>
    <w:rsid w:val="004C2F09"/>
    <w:rsid w:val="005E4936"/>
    <w:rsid w:val="005F7F9C"/>
    <w:rsid w:val="00630C71"/>
    <w:rsid w:val="00686A5A"/>
    <w:rsid w:val="006E66EF"/>
    <w:rsid w:val="00797C94"/>
    <w:rsid w:val="008862CC"/>
    <w:rsid w:val="008E3369"/>
    <w:rsid w:val="00961D5C"/>
    <w:rsid w:val="009770CB"/>
    <w:rsid w:val="00A40B05"/>
    <w:rsid w:val="00A5584E"/>
    <w:rsid w:val="00B24449"/>
    <w:rsid w:val="00B549BA"/>
    <w:rsid w:val="00B90549"/>
    <w:rsid w:val="00BB2974"/>
    <w:rsid w:val="00C054FF"/>
    <w:rsid w:val="00C73E0B"/>
    <w:rsid w:val="00CA0BCF"/>
    <w:rsid w:val="00D1675B"/>
    <w:rsid w:val="00D20B10"/>
    <w:rsid w:val="00D408A7"/>
    <w:rsid w:val="00D9468D"/>
    <w:rsid w:val="00DC7AB5"/>
    <w:rsid w:val="00E7657A"/>
    <w:rsid w:val="00ED1B3F"/>
    <w:rsid w:val="00F97D52"/>
    <w:rsid w:val="00FD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83C2"/>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link w:val="NoSpacingChar"/>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uiPriority w:val="34"/>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2C1707"/>
    <w:pPr>
      <w:spacing w:after="0"/>
      <w:jc w:val="center"/>
    </w:pPr>
    <w:rPr>
      <w:rFonts w:ascii="Calibri" w:hAnsi="Calibri" w:cs="Calibri"/>
      <w:noProof/>
      <w:lang w:val="en-US"/>
    </w:rPr>
  </w:style>
  <w:style w:type="character" w:customStyle="1" w:styleId="NoSpacingChar">
    <w:name w:val="No Spacing Char"/>
    <w:basedOn w:val="DefaultParagraphFont"/>
    <w:link w:val="NoSpacing"/>
    <w:uiPriority w:val="1"/>
    <w:rsid w:val="002C1707"/>
  </w:style>
  <w:style w:type="character" w:customStyle="1" w:styleId="EndNoteBibliographyTitleChar">
    <w:name w:val="EndNote Bibliography Title Char"/>
    <w:basedOn w:val="NoSpacingChar"/>
    <w:link w:val="EndNoteBibliographyTitle"/>
    <w:rsid w:val="002C1707"/>
    <w:rPr>
      <w:rFonts w:ascii="Calibri" w:hAnsi="Calibri" w:cs="Calibri"/>
      <w:noProof/>
      <w:lang w:val="en-US"/>
    </w:rPr>
  </w:style>
  <w:style w:type="paragraph" w:customStyle="1" w:styleId="EndNoteBibliography">
    <w:name w:val="EndNote Bibliography"/>
    <w:basedOn w:val="Normal"/>
    <w:link w:val="EndNoteBibliographyChar"/>
    <w:rsid w:val="002C1707"/>
    <w:pPr>
      <w:spacing w:line="240" w:lineRule="auto"/>
    </w:pPr>
    <w:rPr>
      <w:rFonts w:ascii="Calibri" w:hAnsi="Calibri" w:cs="Calibri"/>
      <w:noProof/>
      <w:lang w:val="en-US"/>
    </w:rPr>
  </w:style>
  <w:style w:type="character" w:customStyle="1" w:styleId="EndNoteBibliographyChar">
    <w:name w:val="EndNote Bibliography Char"/>
    <w:basedOn w:val="NoSpacingChar"/>
    <w:link w:val="EndNoteBibliography"/>
    <w:rsid w:val="002C1707"/>
    <w:rPr>
      <w:rFonts w:ascii="Calibri" w:hAnsi="Calibri" w:cs="Calibri"/>
      <w:noProof/>
      <w:lang w:val="en-US"/>
    </w:rPr>
  </w:style>
  <w:style w:type="character" w:styleId="UnresolvedMention">
    <w:name w:val="Unresolved Mention"/>
    <w:basedOn w:val="DefaultParagraphFont"/>
    <w:uiPriority w:val="99"/>
    <w:semiHidden/>
    <w:unhideWhenUsed/>
    <w:rsid w:val="006E66EF"/>
    <w:rPr>
      <w:color w:val="605E5C"/>
      <w:shd w:val="clear" w:color="auto" w:fill="E1DFDD"/>
    </w:rPr>
  </w:style>
  <w:style w:type="paragraph" w:customStyle="1" w:styleId="Default">
    <w:name w:val="Default"/>
    <w:rsid w:val="00ED1B3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greenwood@leicester.ac.uk" TargetMode="External"/><Relationship Id="rId3" Type="http://schemas.openxmlformats.org/officeDocument/2006/relationships/styles" Target="styles.xml"/><Relationship Id="rId7" Type="http://schemas.openxmlformats.org/officeDocument/2006/relationships/hyperlink" Target="mailto:n.bahadur@leicester.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uol.le.ac.uk\root\staff\home\d\djw57\Desktop%20Files\d.j.wright@leicester.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ac.uk/study/research-degrees/research-subjects/school-of-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E7D72-EAB6-4369-BD76-02D842FB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752</Words>
  <Characters>4289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2</cp:revision>
  <dcterms:created xsi:type="dcterms:W3CDTF">2025-07-07T14:16:00Z</dcterms:created>
  <dcterms:modified xsi:type="dcterms:W3CDTF">2025-07-07T14:16:00Z</dcterms:modified>
</cp:coreProperties>
</file>