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78647" w14:textId="2286B57E" w:rsidR="00D648D2" w:rsidRPr="00E43935" w:rsidRDefault="00D46001" w:rsidP="00E43935">
      <w:pPr>
        <w:spacing w:after="0"/>
        <w:jc w:val="both"/>
        <w:rPr>
          <w:rFonts w:asciiTheme="minorHAnsi" w:hAnsiTheme="minorHAnsi" w:cstheme="minorHAnsi"/>
          <w:b/>
          <w:bCs/>
        </w:rPr>
      </w:pPr>
      <w:r>
        <w:rPr>
          <w:noProof/>
          <w:lang w:eastAsia="en-GB"/>
        </w:rPr>
        <w:drawing>
          <wp:inline distT="0" distB="0" distL="0" distR="0" wp14:anchorId="24ED71E6" wp14:editId="39A1E81C">
            <wp:extent cx="5731510" cy="704215"/>
            <wp:effectExtent l="0" t="0" r="2540" b="635"/>
            <wp:docPr id="3" name="Picture 3" descr="https://le.ac.uk/~/media/uol/images/guidelines/logo/logo-bar-846.png?h=104&amp;w=846&amp;la=en&amp;hash=86821031D4C97D21879D3FC31813FC5D91EE5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ac.uk/~/media/uol/images/guidelines/logo/logo-bar-846.png?h=104&amp;w=846&amp;la=en&amp;hash=86821031D4C97D21879D3FC31813FC5D91EE51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04215"/>
                    </a:xfrm>
                    <a:prstGeom prst="rect">
                      <a:avLst/>
                    </a:prstGeom>
                    <a:noFill/>
                    <a:ln>
                      <a:noFill/>
                    </a:ln>
                  </pic:spPr>
                </pic:pic>
              </a:graphicData>
            </a:graphic>
          </wp:inline>
        </w:drawing>
      </w:r>
    </w:p>
    <w:p w14:paraId="07070798" w14:textId="77777777" w:rsidR="00D648D2" w:rsidRPr="00E43935" w:rsidRDefault="00D648D2" w:rsidP="00E43935">
      <w:pPr>
        <w:spacing w:after="0"/>
        <w:jc w:val="both"/>
        <w:rPr>
          <w:rFonts w:asciiTheme="minorHAnsi" w:hAnsiTheme="minorHAnsi" w:cstheme="minorHAnsi"/>
          <w:b/>
          <w:bCs/>
        </w:rPr>
      </w:pPr>
    </w:p>
    <w:p w14:paraId="18DDD55A" w14:textId="77777777" w:rsidR="00AE426A" w:rsidRPr="00A55BE3" w:rsidRDefault="00AE426A" w:rsidP="00A95FB2">
      <w:pPr>
        <w:pStyle w:val="Title"/>
      </w:pPr>
      <w:r w:rsidRPr="00A55BE3">
        <w:t xml:space="preserve">&lt;INSERT SHORT </w:t>
      </w:r>
      <w:r>
        <w:t>TRIAL</w:t>
      </w:r>
      <w:r w:rsidRPr="00A55BE3">
        <w:t xml:space="preserve"> TITLE&gt;</w:t>
      </w:r>
      <w:r>
        <w:t xml:space="preserve"> </w:t>
      </w:r>
      <w:r w:rsidRPr="00A95FB2">
        <w:t>Monitoring</w:t>
      </w:r>
      <w:r w:rsidRPr="00A55BE3">
        <w:t xml:space="preserve"> Plan</w:t>
      </w:r>
    </w:p>
    <w:p w14:paraId="317339F2" w14:textId="77777777" w:rsidR="00BE4163" w:rsidRPr="00E43935" w:rsidRDefault="00BE4163" w:rsidP="00E43935">
      <w:pPr>
        <w:spacing w:after="0"/>
        <w:jc w:val="both"/>
        <w:rPr>
          <w:rFonts w:asciiTheme="minorHAnsi" w:hAnsiTheme="minorHAnsi" w:cstheme="minorHAnsi"/>
          <w:bCs/>
          <w:u w:val="single"/>
        </w:rPr>
      </w:pPr>
    </w:p>
    <w:tbl>
      <w:tblPr>
        <w:tblStyle w:val="TableGrid1"/>
        <w:tblW w:w="9131" w:type="dxa"/>
        <w:shd w:val="clear" w:color="auto" w:fill="D9D9D9" w:themeFill="background1" w:themeFillShade="D9"/>
        <w:tblLook w:val="00A0" w:firstRow="1" w:lastRow="0" w:firstColumn="1" w:lastColumn="0" w:noHBand="0" w:noVBand="0"/>
        <w:tblDescription w:val="Table requesting basic deatils about the study to be completed by members of the research team. "/>
      </w:tblPr>
      <w:tblGrid>
        <w:gridCol w:w="2097"/>
        <w:gridCol w:w="7034"/>
      </w:tblGrid>
      <w:tr w:rsidR="00CB6EEB" w:rsidRPr="00E43935" w14:paraId="40C87378" w14:textId="77777777" w:rsidTr="00A95FB2">
        <w:trPr>
          <w:trHeight w:val="248"/>
          <w:tblHeader/>
        </w:trPr>
        <w:tc>
          <w:tcPr>
            <w:tcW w:w="2097" w:type="dxa"/>
            <w:shd w:val="clear" w:color="auto" w:fill="D9D9D9" w:themeFill="background1" w:themeFillShade="D9"/>
          </w:tcPr>
          <w:p w14:paraId="2B3D73A9" w14:textId="77777777" w:rsidR="00CB6EEB" w:rsidRPr="00A95FB2" w:rsidRDefault="00CB6EEB" w:rsidP="00D46001">
            <w:pPr>
              <w:suppressAutoHyphens w:val="0"/>
              <w:autoSpaceDN/>
              <w:spacing w:after="0"/>
              <w:textAlignment w:val="auto"/>
              <w:rPr>
                <w:rFonts w:asciiTheme="minorHAnsi" w:hAnsiTheme="minorHAnsi" w:cstheme="minorHAnsi"/>
                <w:sz w:val="22"/>
                <w:szCs w:val="22"/>
              </w:rPr>
            </w:pPr>
            <w:r w:rsidRPr="00A95FB2">
              <w:rPr>
                <w:rFonts w:asciiTheme="minorHAnsi" w:hAnsiTheme="minorHAnsi" w:cstheme="minorHAnsi"/>
                <w:bCs/>
                <w:sz w:val="22"/>
                <w:szCs w:val="22"/>
              </w:rPr>
              <w:t xml:space="preserve">Site: </w:t>
            </w:r>
          </w:p>
        </w:tc>
        <w:tc>
          <w:tcPr>
            <w:tcW w:w="7034" w:type="dxa"/>
            <w:shd w:val="clear" w:color="auto" w:fill="D9D9D9" w:themeFill="background1" w:themeFillShade="D9"/>
          </w:tcPr>
          <w:p w14:paraId="6F8AF43B" w14:textId="4F559707" w:rsidR="00CB6EEB" w:rsidRPr="00E43935" w:rsidRDefault="00CB6EEB" w:rsidP="00D46001">
            <w:pPr>
              <w:suppressAutoHyphens w:val="0"/>
              <w:autoSpaceDN/>
              <w:spacing w:after="0"/>
              <w:textAlignment w:val="auto"/>
              <w:rPr>
                <w:rFonts w:asciiTheme="minorHAnsi" w:hAnsiTheme="minorHAnsi" w:cstheme="minorHAnsi"/>
                <w:bCs/>
              </w:rPr>
            </w:pPr>
          </w:p>
        </w:tc>
      </w:tr>
      <w:tr w:rsidR="00CB6EEB" w:rsidRPr="00E43935" w14:paraId="3B16AB77" w14:textId="77777777" w:rsidTr="00A95FB2">
        <w:trPr>
          <w:trHeight w:val="497"/>
          <w:tblHeader/>
        </w:trPr>
        <w:tc>
          <w:tcPr>
            <w:tcW w:w="2097" w:type="dxa"/>
            <w:shd w:val="clear" w:color="auto" w:fill="D9D9D9" w:themeFill="background1" w:themeFillShade="D9"/>
          </w:tcPr>
          <w:p w14:paraId="65029C22" w14:textId="16BDA791" w:rsidR="00CB6EEB" w:rsidRPr="00A95FB2" w:rsidRDefault="00D46001" w:rsidP="00D46001">
            <w:pPr>
              <w:suppressAutoHyphens w:val="0"/>
              <w:autoSpaceDN/>
              <w:spacing w:after="0"/>
              <w:textAlignment w:val="auto"/>
              <w:rPr>
                <w:rFonts w:asciiTheme="minorHAnsi" w:hAnsiTheme="minorHAnsi" w:cstheme="minorHAnsi"/>
                <w:sz w:val="22"/>
                <w:szCs w:val="22"/>
              </w:rPr>
            </w:pPr>
            <w:r w:rsidRPr="00A95FB2">
              <w:rPr>
                <w:rFonts w:asciiTheme="minorHAnsi" w:hAnsiTheme="minorHAnsi" w:cstheme="minorHAnsi"/>
                <w:sz w:val="22"/>
                <w:szCs w:val="22"/>
              </w:rPr>
              <w:t xml:space="preserve">Sponsor </w:t>
            </w:r>
            <w:r w:rsidR="00CB6EEB" w:rsidRPr="00A95FB2">
              <w:rPr>
                <w:rFonts w:asciiTheme="minorHAnsi" w:hAnsiTheme="minorHAnsi" w:cstheme="minorHAnsi"/>
                <w:sz w:val="22"/>
                <w:szCs w:val="22"/>
              </w:rPr>
              <w:t xml:space="preserve">Reference Number: </w:t>
            </w:r>
          </w:p>
        </w:tc>
        <w:tc>
          <w:tcPr>
            <w:tcW w:w="7034" w:type="dxa"/>
            <w:shd w:val="clear" w:color="auto" w:fill="D9D9D9" w:themeFill="background1" w:themeFillShade="D9"/>
          </w:tcPr>
          <w:p w14:paraId="302CA084" w14:textId="218FBD57" w:rsidR="00CB6EEB" w:rsidRPr="00E43935" w:rsidRDefault="00CB6EEB" w:rsidP="00D46001">
            <w:pPr>
              <w:suppressAutoHyphens w:val="0"/>
              <w:autoSpaceDN/>
              <w:spacing w:after="0"/>
              <w:textAlignment w:val="auto"/>
              <w:rPr>
                <w:rFonts w:asciiTheme="minorHAnsi" w:hAnsiTheme="minorHAnsi" w:cstheme="minorHAnsi"/>
              </w:rPr>
            </w:pPr>
          </w:p>
        </w:tc>
      </w:tr>
      <w:tr w:rsidR="00CB6EEB" w:rsidRPr="00E43935" w14:paraId="2C814038" w14:textId="77777777" w:rsidTr="00A95FB2">
        <w:trPr>
          <w:trHeight w:val="737"/>
          <w:tblHeader/>
        </w:trPr>
        <w:tc>
          <w:tcPr>
            <w:tcW w:w="2097" w:type="dxa"/>
            <w:shd w:val="clear" w:color="auto" w:fill="D9D9D9" w:themeFill="background1" w:themeFillShade="D9"/>
          </w:tcPr>
          <w:p w14:paraId="6FBCC0F4" w14:textId="680A0E50" w:rsidR="00CB6EEB" w:rsidRPr="00A95FB2" w:rsidRDefault="00AE426A" w:rsidP="00D46001">
            <w:pPr>
              <w:suppressAutoHyphens w:val="0"/>
              <w:autoSpaceDN/>
              <w:spacing w:after="0"/>
              <w:textAlignment w:val="auto"/>
              <w:rPr>
                <w:rFonts w:asciiTheme="minorHAnsi" w:hAnsiTheme="minorHAnsi" w:cstheme="minorHAnsi"/>
                <w:sz w:val="22"/>
                <w:szCs w:val="22"/>
              </w:rPr>
            </w:pPr>
            <w:r w:rsidRPr="00A95FB2">
              <w:rPr>
                <w:rFonts w:asciiTheme="minorHAnsi" w:hAnsiTheme="minorHAnsi" w:cstheme="minorHAnsi"/>
                <w:sz w:val="22"/>
                <w:szCs w:val="22"/>
              </w:rPr>
              <w:t>Full Trial</w:t>
            </w:r>
            <w:r w:rsidR="00CB6EEB" w:rsidRPr="00A95FB2">
              <w:rPr>
                <w:rFonts w:asciiTheme="minorHAnsi" w:hAnsiTheme="minorHAnsi" w:cstheme="minorHAnsi"/>
                <w:sz w:val="22"/>
                <w:szCs w:val="22"/>
              </w:rPr>
              <w:t xml:space="preserve"> Title: </w:t>
            </w:r>
          </w:p>
        </w:tc>
        <w:tc>
          <w:tcPr>
            <w:tcW w:w="7034" w:type="dxa"/>
            <w:shd w:val="clear" w:color="auto" w:fill="D9D9D9" w:themeFill="background1" w:themeFillShade="D9"/>
          </w:tcPr>
          <w:p w14:paraId="374350D8" w14:textId="140656E6" w:rsidR="00CB6EEB" w:rsidRPr="00E43935" w:rsidRDefault="00CB6EEB" w:rsidP="00D46001">
            <w:pPr>
              <w:suppressAutoHyphens w:val="0"/>
              <w:autoSpaceDN/>
              <w:spacing w:after="0"/>
              <w:textAlignment w:val="auto"/>
              <w:rPr>
                <w:rFonts w:asciiTheme="minorHAnsi" w:hAnsiTheme="minorHAnsi" w:cstheme="minorHAnsi"/>
              </w:rPr>
            </w:pPr>
          </w:p>
        </w:tc>
      </w:tr>
      <w:tr w:rsidR="00CB6EEB" w:rsidRPr="00E43935" w14:paraId="2AC9877C" w14:textId="77777777" w:rsidTr="00A95FB2">
        <w:trPr>
          <w:trHeight w:val="248"/>
          <w:tblHeader/>
        </w:trPr>
        <w:tc>
          <w:tcPr>
            <w:tcW w:w="2097" w:type="dxa"/>
            <w:shd w:val="clear" w:color="auto" w:fill="D9D9D9" w:themeFill="background1" w:themeFillShade="D9"/>
          </w:tcPr>
          <w:p w14:paraId="47802437" w14:textId="77777777" w:rsidR="00CB6EEB" w:rsidRPr="00A95FB2" w:rsidRDefault="00CB6EEB" w:rsidP="00D46001">
            <w:pPr>
              <w:suppressAutoHyphens w:val="0"/>
              <w:autoSpaceDN/>
              <w:spacing w:after="0"/>
              <w:textAlignment w:val="auto"/>
              <w:rPr>
                <w:rFonts w:asciiTheme="minorHAnsi" w:hAnsiTheme="minorHAnsi" w:cstheme="minorHAnsi"/>
                <w:sz w:val="22"/>
                <w:szCs w:val="22"/>
              </w:rPr>
            </w:pPr>
            <w:r w:rsidRPr="00A95FB2">
              <w:rPr>
                <w:rFonts w:asciiTheme="minorHAnsi" w:hAnsiTheme="minorHAnsi" w:cstheme="minorHAnsi"/>
                <w:sz w:val="22"/>
                <w:szCs w:val="22"/>
              </w:rPr>
              <w:t>Chief Investigator:</w:t>
            </w:r>
          </w:p>
        </w:tc>
        <w:tc>
          <w:tcPr>
            <w:tcW w:w="7034" w:type="dxa"/>
            <w:shd w:val="clear" w:color="auto" w:fill="D9D9D9" w:themeFill="background1" w:themeFillShade="D9"/>
          </w:tcPr>
          <w:p w14:paraId="19FA1A24" w14:textId="0C0469D7" w:rsidR="00CB6EEB" w:rsidRPr="00E43935" w:rsidRDefault="00CB6EEB" w:rsidP="00D46001">
            <w:pPr>
              <w:suppressAutoHyphens w:val="0"/>
              <w:autoSpaceDN/>
              <w:spacing w:after="0"/>
              <w:textAlignment w:val="auto"/>
              <w:rPr>
                <w:rFonts w:asciiTheme="minorHAnsi" w:hAnsiTheme="minorHAnsi" w:cstheme="minorHAnsi"/>
              </w:rPr>
            </w:pPr>
          </w:p>
        </w:tc>
      </w:tr>
      <w:tr w:rsidR="00CB6EEB" w:rsidRPr="00E43935" w14:paraId="742D080F" w14:textId="77777777" w:rsidTr="00A95FB2">
        <w:trPr>
          <w:trHeight w:val="248"/>
          <w:tblHeader/>
        </w:trPr>
        <w:tc>
          <w:tcPr>
            <w:tcW w:w="2097" w:type="dxa"/>
            <w:shd w:val="clear" w:color="auto" w:fill="D9D9D9" w:themeFill="background1" w:themeFillShade="D9"/>
          </w:tcPr>
          <w:p w14:paraId="105F6090" w14:textId="511282FF" w:rsidR="00CB6EEB" w:rsidRPr="00A95FB2" w:rsidRDefault="00C619B2" w:rsidP="00D46001">
            <w:pPr>
              <w:suppressAutoHyphens w:val="0"/>
              <w:autoSpaceDN/>
              <w:spacing w:after="0"/>
              <w:textAlignment w:val="auto"/>
              <w:rPr>
                <w:rFonts w:asciiTheme="minorHAnsi" w:hAnsiTheme="minorHAnsi" w:cstheme="minorHAnsi"/>
                <w:sz w:val="22"/>
                <w:szCs w:val="22"/>
              </w:rPr>
            </w:pPr>
            <w:r w:rsidRPr="00A95FB2">
              <w:rPr>
                <w:rFonts w:asciiTheme="minorHAnsi" w:hAnsiTheme="minorHAnsi" w:cstheme="minorHAnsi"/>
                <w:sz w:val="22"/>
                <w:szCs w:val="22"/>
              </w:rPr>
              <w:t>Medical Device Reference Number:</w:t>
            </w:r>
          </w:p>
        </w:tc>
        <w:tc>
          <w:tcPr>
            <w:tcW w:w="7034" w:type="dxa"/>
            <w:shd w:val="clear" w:color="auto" w:fill="D9D9D9" w:themeFill="background1" w:themeFillShade="D9"/>
          </w:tcPr>
          <w:p w14:paraId="360836DA" w14:textId="205D1860" w:rsidR="00CB6EEB" w:rsidRPr="00E43935" w:rsidRDefault="00CB6EEB" w:rsidP="00D46001">
            <w:pPr>
              <w:suppressAutoHyphens w:val="0"/>
              <w:autoSpaceDN/>
              <w:spacing w:after="0"/>
              <w:textAlignment w:val="auto"/>
              <w:rPr>
                <w:rFonts w:asciiTheme="minorHAnsi" w:hAnsiTheme="minorHAnsi" w:cstheme="minorHAnsi"/>
              </w:rPr>
            </w:pPr>
          </w:p>
        </w:tc>
      </w:tr>
      <w:tr w:rsidR="00CB6EEB" w:rsidRPr="00E43935" w14:paraId="078DE99A" w14:textId="77777777" w:rsidTr="00A95FB2">
        <w:trPr>
          <w:trHeight w:val="248"/>
          <w:tblHeader/>
        </w:trPr>
        <w:tc>
          <w:tcPr>
            <w:tcW w:w="2097" w:type="dxa"/>
            <w:shd w:val="clear" w:color="auto" w:fill="D9D9D9" w:themeFill="background1" w:themeFillShade="D9"/>
          </w:tcPr>
          <w:p w14:paraId="7E9B107F" w14:textId="77777777" w:rsidR="00CB6EEB" w:rsidRPr="00A95FB2" w:rsidRDefault="00CB6EEB" w:rsidP="00D46001">
            <w:pPr>
              <w:suppressAutoHyphens w:val="0"/>
              <w:autoSpaceDN/>
              <w:spacing w:after="0"/>
              <w:textAlignment w:val="auto"/>
              <w:rPr>
                <w:rFonts w:asciiTheme="minorHAnsi" w:hAnsiTheme="minorHAnsi" w:cstheme="minorHAnsi"/>
                <w:sz w:val="22"/>
                <w:szCs w:val="22"/>
              </w:rPr>
            </w:pPr>
            <w:r w:rsidRPr="00A95FB2">
              <w:rPr>
                <w:rFonts w:asciiTheme="minorHAnsi" w:hAnsiTheme="minorHAnsi" w:cstheme="minorHAnsi"/>
                <w:sz w:val="22"/>
                <w:szCs w:val="22"/>
              </w:rPr>
              <w:t>IRAS Number:</w:t>
            </w:r>
          </w:p>
        </w:tc>
        <w:tc>
          <w:tcPr>
            <w:tcW w:w="7034" w:type="dxa"/>
            <w:shd w:val="clear" w:color="auto" w:fill="D9D9D9" w:themeFill="background1" w:themeFillShade="D9"/>
          </w:tcPr>
          <w:p w14:paraId="1DD4CB74" w14:textId="2E7CE85A" w:rsidR="00CB6EEB" w:rsidRPr="00E43935" w:rsidRDefault="00CB6EEB" w:rsidP="00D46001">
            <w:pPr>
              <w:suppressAutoHyphens w:val="0"/>
              <w:autoSpaceDN/>
              <w:spacing w:after="0"/>
              <w:textAlignment w:val="auto"/>
              <w:rPr>
                <w:rFonts w:asciiTheme="minorHAnsi" w:hAnsiTheme="minorHAnsi" w:cstheme="minorHAnsi"/>
              </w:rPr>
            </w:pPr>
          </w:p>
        </w:tc>
      </w:tr>
      <w:tr w:rsidR="00CB6EEB" w:rsidRPr="00E43935" w14:paraId="0BBF8B77" w14:textId="77777777" w:rsidTr="00A95FB2">
        <w:trPr>
          <w:trHeight w:val="239"/>
          <w:tblHeader/>
        </w:trPr>
        <w:tc>
          <w:tcPr>
            <w:tcW w:w="2097" w:type="dxa"/>
            <w:shd w:val="clear" w:color="auto" w:fill="D9D9D9" w:themeFill="background1" w:themeFillShade="D9"/>
          </w:tcPr>
          <w:p w14:paraId="6A475EDB" w14:textId="77777777" w:rsidR="00CB6EEB" w:rsidRPr="00A95FB2" w:rsidRDefault="00CB6EEB" w:rsidP="00D46001">
            <w:pPr>
              <w:tabs>
                <w:tab w:val="left" w:pos="3720"/>
              </w:tabs>
              <w:suppressAutoHyphens w:val="0"/>
              <w:autoSpaceDN/>
              <w:spacing w:after="0"/>
              <w:textAlignment w:val="auto"/>
              <w:rPr>
                <w:rFonts w:asciiTheme="minorHAnsi" w:hAnsiTheme="minorHAnsi" w:cstheme="minorHAnsi"/>
                <w:sz w:val="22"/>
                <w:szCs w:val="22"/>
              </w:rPr>
            </w:pPr>
            <w:r w:rsidRPr="00A95FB2">
              <w:rPr>
                <w:rFonts w:asciiTheme="minorHAnsi" w:hAnsiTheme="minorHAnsi" w:cstheme="minorHAnsi"/>
                <w:sz w:val="22"/>
                <w:szCs w:val="22"/>
              </w:rPr>
              <w:t>REC Reference:</w:t>
            </w:r>
          </w:p>
        </w:tc>
        <w:tc>
          <w:tcPr>
            <w:tcW w:w="7034" w:type="dxa"/>
            <w:shd w:val="clear" w:color="auto" w:fill="D9D9D9" w:themeFill="background1" w:themeFillShade="D9"/>
          </w:tcPr>
          <w:p w14:paraId="4F0EF450" w14:textId="08EA977F" w:rsidR="00CB6EEB" w:rsidRPr="00E43935" w:rsidRDefault="00CB6EEB" w:rsidP="00D46001">
            <w:pPr>
              <w:suppressAutoHyphens w:val="0"/>
              <w:autoSpaceDN/>
              <w:spacing w:after="0"/>
              <w:textAlignment w:val="auto"/>
              <w:rPr>
                <w:rFonts w:asciiTheme="minorHAnsi" w:hAnsiTheme="minorHAnsi" w:cstheme="minorHAnsi"/>
              </w:rPr>
            </w:pPr>
          </w:p>
        </w:tc>
      </w:tr>
      <w:tr w:rsidR="00CB6EEB" w:rsidRPr="00E43935" w14:paraId="223556ED" w14:textId="77777777" w:rsidTr="00A95FB2">
        <w:trPr>
          <w:trHeight w:val="248"/>
          <w:tblHeader/>
        </w:trPr>
        <w:tc>
          <w:tcPr>
            <w:tcW w:w="2097" w:type="dxa"/>
            <w:shd w:val="clear" w:color="auto" w:fill="D9D9D9" w:themeFill="background1" w:themeFillShade="D9"/>
          </w:tcPr>
          <w:p w14:paraId="4E560502" w14:textId="77777777" w:rsidR="00CB6EEB" w:rsidRPr="00A95FB2" w:rsidRDefault="00CB6EEB" w:rsidP="00D46001">
            <w:pPr>
              <w:tabs>
                <w:tab w:val="left" w:pos="3720"/>
              </w:tabs>
              <w:suppressAutoHyphens w:val="0"/>
              <w:autoSpaceDN/>
              <w:spacing w:after="0"/>
              <w:textAlignment w:val="auto"/>
              <w:rPr>
                <w:rFonts w:asciiTheme="minorHAnsi" w:hAnsiTheme="minorHAnsi" w:cstheme="minorHAnsi"/>
                <w:sz w:val="22"/>
                <w:szCs w:val="22"/>
              </w:rPr>
            </w:pPr>
            <w:r w:rsidRPr="00A95FB2">
              <w:rPr>
                <w:rFonts w:asciiTheme="minorHAnsi" w:hAnsiTheme="minorHAnsi" w:cstheme="minorHAnsi"/>
                <w:sz w:val="22"/>
                <w:szCs w:val="22"/>
              </w:rPr>
              <w:t xml:space="preserve">EDGE Number: </w:t>
            </w:r>
          </w:p>
        </w:tc>
        <w:tc>
          <w:tcPr>
            <w:tcW w:w="7034" w:type="dxa"/>
            <w:shd w:val="clear" w:color="auto" w:fill="D9D9D9" w:themeFill="background1" w:themeFillShade="D9"/>
          </w:tcPr>
          <w:p w14:paraId="550B0115" w14:textId="2AC28B9A" w:rsidR="00CB6EEB" w:rsidRPr="00E43935" w:rsidRDefault="00CB6EEB" w:rsidP="00D46001">
            <w:pPr>
              <w:suppressAutoHyphens w:val="0"/>
              <w:autoSpaceDN/>
              <w:spacing w:after="0"/>
              <w:textAlignment w:val="auto"/>
              <w:rPr>
                <w:rFonts w:asciiTheme="minorHAnsi" w:hAnsiTheme="minorHAnsi" w:cstheme="minorHAnsi"/>
              </w:rPr>
            </w:pPr>
          </w:p>
        </w:tc>
      </w:tr>
    </w:tbl>
    <w:p w14:paraId="79751850" w14:textId="77777777" w:rsidR="00E43935" w:rsidRPr="00E43935" w:rsidRDefault="00E43935" w:rsidP="00E43935">
      <w:pPr>
        <w:spacing w:after="0"/>
        <w:jc w:val="both"/>
        <w:rPr>
          <w:rFonts w:asciiTheme="minorHAnsi" w:hAnsiTheme="minorHAnsi" w:cstheme="minorHAnsi"/>
          <w:lang w:val="en-US"/>
        </w:rPr>
      </w:pPr>
    </w:p>
    <w:p w14:paraId="398825B8" w14:textId="38A113F0" w:rsidR="002D5314" w:rsidRPr="00E43935" w:rsidRDefault="003A0AAD" w:rsidP="00E43935">
      <w:pPr>
        <w:spacing w:after="0"/>
        <w:jc w:val="both"/>
        <w:rPr>
          <w:rFonts w:asciiTheme="minorHAnsi" w:hAnsiTheme="minorHAnsi" w:cstheme="minorHAnsi"/>
          <w:lang w:val="en-US"/>
        </w:rPr>
      </w:pPr>
      <w:r w:rsidRPr="00E43935">
        <w:rPr>
          <w:rFonts w:asciiTheme="minorHAnsi" w:hAnsiTheme="minorHAnsi" w:cstheme="minorHAnsi"/>
          <w:lang w:val="en-US"/>
        </w:rPr>
        <w:t>The Sponsor risk assessment form</w:t>
      </w:r>
      <w:r w:rsidR="002D5314" w:rsidRPr="00E43935">
        <w:rPr>
          <w:rFonts w:asciiTheme="minorHAnsi" w:hAnsiTheme="minorHAnsi" w:cstheme="minorHAnsi"/>
          <w:lang w:val="en-US"/>
        </w:rPr>
        <w:t xml:space="preserve"> and the trial risk based monitoring strategy</w:t>
      </w:r>
      <w:r w:rsidR="006A1C36">
        <w:rPr>
          <w:rFonts w:asciiTheme="minorHAnsi" w:hAnsiTheme="minorHAnsi" w:cstheme="minorHAnsi"/>
          <w:lang w:val="en-US"/>
        </w:rPr>
        <w:t>,</w:t>
      </w:r>
      <w:r w:rsidR="002D5314" w:rsidRPr="00E43935">
        <w:rPr>
          <w:rFonts w:asciiTheme="minorHAnsi" w:hAnsiTheme="minorHAnsi" w:cstheme="minorHAnsi"/>
          <w:lang w:val="en-US"/>
        </w:rPr>
        <w:t xml:space="preserve"> appendi</w:t>
      </w:r>
      <w:r w:rsidR="006A1C36">
        <w:rPr>
          <w:rFonts w:asciiTheme="minorHAnsi" w:hAnsiTheme="minorHAnsi" w:cstheme="minorHAnsi"/>
          <w:lang w:val="en-US"/>
        </w:rPr>
        <w:t>x</w:t>
      </w:r>
      <w:r w:rsidR="002D5314" w:rsidRPr="00E43935">
        <w:rPr>
          <w:rFonts w:asciiTheme="minorHAnsi" w:hAnsiTheme="minorHAnsi" w:cstheme="minorHAnsi"/>
          <w:lang w:val="en-US"/>
        </w:rPr>
        <w:t xml:space="preserve"> 2 to SOP S-1007</w:t>
      </w:r>
      <w:r w:rsidR="006A1C36">
        <w:rPr>
          <w:rFonts w:asciiTheme="minorHAnsi" w:hAnsiTheme="minorHAnsi" w:cstheme="minorHAnsi"/>
          <w:lang w:val="en-US"/>
        </w:rPr>
        <w:t>,</w:t>
      </w:r>
      <w:r w:rsidRPr="00E43935">
        <w:rPr>
          <w:rFonts w:asciiTheme="minorHAnsi" w:hAnsiTheme="minorHAnsi" w:cstheme="minorHAnsi"/>
          <w:lang w:val="en-US"/>
        </w:rPr>
        <w:t xml:space="preserve"> will </w:t>
      </w:r>
      <w:r w:rsidR="00D46001">
        <w:rPr>
          <w:rFonts w:asciiTheme="minorHAnsi" w:hAnsiTheme="minorHAnsi" w:cstheme="minorHAnsi"/>
          <w:lang w:val="en-US"/>
        </w:rPr>
        <w:t>inform</w:t>
      </w:r>
      <w:r w:rsidRPr="00E43935">
        <w:rPr>
          <w:rFonts w:asciiTheme="minorHAnsi" w:hAnsiTheme="minorHAnsi" w:cstheme="minorHAnsi"/>
          <w:lang w:val="en-US"/>
        </w:rPr>
        <w:t xml:space="preserve"> the development of the monitoring plan. </w:t>
      </w:r>
    </w:p>
    <w:p w14:paraId="2F0C6B95" w14:textId="77777777" w:rsidR="00F41D8D" w:rsidRDefault="00F41D8D" w:rsidP="00E43935">
      <w:pPr>
        <w:spacing w:after="0"/>
        <w:jc w:val="both"/>
        <w:rPr>
          <w:rFonts w:asciiTheme="minorHAnsi" w:hAnsiTheme="minorHAnsi" w:cstheme="minorHAnsi"/>
          <w:lang w:val="en-US"/>
        </w:rPr>
      </w:pPr>
    </w:p>
    <w:p w14:paraId="371BCFE6" w14:textId="7D91A96E" w:rsidR="002D5314" w:rsidRDefault="002D5314" w:rsidP="00E43935">
      <w:pPr>
        <w:spacing w:after="0"/>
        <w:jc w:val="both"/>
        <w:rPr>
          <w:rFonts w:asciiTheme="minorHAnsi" w:hAnsiTheme="minorHAnsi" w:cstheme="minorHAnsi"/>
          <w:lang w:val="en-US"/>
        </w:rPr>
      </w:pPr>
      <w:r w:rsidRPr="00E43935">
        <w:rPr>
          <w:rFonts w:asciiTheme="minorHAnsi" w:hAnsiTheme="minorHAnsi" w:cstheme="minorHAnsi"/>
          <w:lang w:val="en-US"/>
        </w:rPr>
        <w:t xml:space="preserve">The monitoring risk category for this study is </w:t>
      </w:r>
      <w:r w:rsidR="00D46001">
        <w:rPr>
          <w:rFonts w:asciiTheme="minorHAnsi" w:hAnsiTheme="minorHAnsi" w:cstheme="minorHAnsi"/>
          <w:b/>
          <w:lang w:val="en-US"/>
        </w:rPr>
        <w:t>&lt;insert trial Type of Risk and definition&gt;</w:t>
      </w:r>
      <w:r w:rsidRPr="00E43935">
        <w:rPr>
          <w:rFonts w:asciiTheme="minorHAnsi" w:hAnsiTheme="minorHAnsi" w:cstheme="minorHAnsi"/>
          <w:lang w:val="en-US"/>
        </w:rPr>
        <w:t>.</w:t>
      </w:r>
    </w:p>
    <w:p w14:paraId="4EC8853B" w14:textId="77777777" w:rsidR="00E43935" w:rsidRPr="00E43935" w:rsidRDefault="00E43935" w:rsidP="00E43935">
      <w:pPr>
        <w:spacing w:after="0"/>
        <w:jc w:val="both"/>
        <w:rPr>
          <w:rFonts w:asciiTheme="minorHAnsi" w:hAnsiTheme="minorHAnsi" w:cstheme="minorHAnsi"/>
          <w:lang w:val="en-US"/>
        </w:rPr>
      </w:pPr>
    </w:p>
    <w:p w14:paraId="6351B6DD" w14:textId="25FB5E2E" w:rsidR="00653792" w:rsidRPr="00E43935" w:rsidRDefault="00653792" w:rsidP="00E43935">
      <w:pPr>
        <w:spacing w:after="0"/>
        <w:jc w:val="both"/>
        <w:rPr>
          <w:rFonts w:asciiTheme="minorHAnsi" w:hAnsiTheme="minorHAnsi" w:cstheme="minorHAnsi"/>
          <w:lang w:val="en-US"/>
        </w:rPr>
      </w:pPr>
      <w:r w:rsidRPr="00E43935">
        <w:rPr>
          <w:rFonts w:asciiTheme="minorHAnsi" w:hAnsiTheme="minorHAnsi" w:cstheme="minorHAnsi"/>
          <w:lang w:val="en-US"/>
        </w:rPr>
        <w:t>The type of monitoring u</w:t>
      </w:r>
      <w:r w:rsidR="006A1C36">
        <w:rPr>
          <w:rFonts w:asciiTheme="minorHAnsi" w:hAnsiTheme="minorHAnsi" w:cstheme="minorHAnsi"/>
          <w:lang w:val="en-US"/>
        </w:rPr>
        <w:t>ndertaken, its</w:t>
      </w:r>
      <w:r w:rsidR="006A1C36" w:rsidRPr="00E43935">
        <w:rPr>
          <w:rFonts w:asciiTheme="minorHAnsi" w:hAnsiTheme="minorHAnsi" w:cstheme="minorHAnsi"/>
          <w:lang w:val="en-US"/>
        </w:rPr>
        <w:t xml:space="preserve"> frequency and </w:t>
      </w:r>
      <w:r w:rsidR="006A1C36">
        <w:rPr>
          <w:rFonts w:asciiTheme="minorHAnsi" w:hAnsiTheme="minorHAnsi" w:cstheme="minorHAnsi"/>
          <w:lang w:val="en-US"/>
        </w:rPr>
        <w:t xml:space="preserve">the </w:t>
      </w:r>
      <w:r w:rsidR="006A1C36" w:rsidRPr="00E43935">
        <w:rPr>
          <w:rFonts w:asciiTheme="minorHAnsi" w:hAnsiTheme="minorHAnsi" w:cstheme="minorHAnsi"/>
          <w:lang w:val="en-US"/>
        </w:rPr>
        <w:t>focus</w:t>
      </w:r>
      <w:r w:rsidRPr="00E43935">
        <w:rPr>
          <w:rFonts w:asciiTheme="minorHAnsi" w:hAnsiTheme="minorHAnsi" w:cstheme="minorHAnsi"/>
          <w:lang w:val="en-US"/>
        </w:rPr>
        <w:t xml:space="preserve"> of monitoring visits will be determined by the risk rating allocated. All aspects will be undertaken in accordance with the Sponsor Standard Operating Procedures.</w:t>
      </w:r>
    </w:p>
    <w:p w14:paraId="26B4217A" w14:textId="77777777" w:rsidR="00724DD9" w:rsidRDefault="00724DD9" w:rsidP="00E43935">
      <w:pPr>
        <w:pStyle w:val="ListParagraph"/>
        <w:spacing w:after="0"/>
        <w:ind w:left="0"/>
        <w:jc w:val="both"/>
        <w:rPr>
          <w:rFonts w:asciiTheme="minorHAnsi" w:hAnsiTheme="minorHAnsi" w:cstheme="minorHAnsi"/>
          <w:lang w:val="en-US"/>
        </w:rPr>
      </w:pPr>
    </w:p>
    <w:p w14:paraId="09722C48" w14:textId="0FF42931" w:rsidR="00A87FCF" w:rsidRDefault="00653792" w:rsidP="00E43935">
      <w:pPr>
        <w:pStyle w:val="ListParagraph"/>
        <w:spacing w:after="0"/>
        <w:ind w:left="0"/>
        <w:jc w:val="both"/>
        <w:rPr>
          <w:rFonts w:asciiTheme="minorHAnsi" w:hAnsiTheme="minorHAnsi" w:cstheme="minorHAnsi"/>
        </w:rPr>
      </w:pPr>
      <w:r w:rsidRPr="00E43935">
        <w:rPr>
          <w:rFonts w:asciiTheme="minorHAnsi" w:hAnsiTheme="minorHAnsi" w:cstheme="minorHAnsi"/>
          <w:lang w:val="en-US"/>
        </w:rPr>
        <w:t xml:space="preserve">The monitoring plan should be used as a guide for monitoring activity and is subject to revision(s) dependent upon on </w:t>
      </w:r>
      <w:r w:rsidR="00C619B2">
        <w:rPr>
          <w:rFonts w:asciiTheme="minorHAnsi" w:hAnsiTheme="minorHAnsi" w:cstheme="minorHAnsi"/>
          <w:lang w:val="en-US"/>
        </w:rPr>
        <w:t>participant</w:t>
      </w:r>
      <w:r w:rsidRPr="00E43935">
        <w:rPr>
          <w:rFonts w:asciiTheme="minorHAnsi" w:hAnsiTheme="minorHAnsi" w:cstheme="minorHAnsi"/>
          <w:lang w:val="en-US"/>
        </w:rPr>
        <w:t xml:space="preserve"> enrolment rate, quality issues, site compliance or other trial issues. However, any significant deviation from the planned monitoring timelines will be explained and documented in the monitoring visit report and the plan amended if appropriate.</w:t>
      </w:r>
      <w:r w:rsidR="00A87FCF" w:rsidRPr="00E43935">
        <w:rPr>
          <w:rFonts w:asciiTheme="minorHAnsi" w:hAnsiTheme="minorHAnsi" w:cstheme="minorHAnsi"/>
          <w:lang w:val="en-US"/>
        </w:rPr>
        <w:t xml:space="preserve"> </w:t>
      </w:r>
      <w:r w:rsidR="00A87FCF" w:rsidRPr="00E43935">
        <w:rPr>
          <w:rFonts w:asciiTheme="minorHAnsi" w:hAnsiTheme="minorHAnsi" w:cstheme="minorHAnsi"/>
        </w:rPr>
        <w:t xml:space="preserve">The number and frequency of monitoring visits is subject to change and will be dependent upon the number and type of findings at each visit. The amount of Source Data Verification conducted is also subject to increases or decreases based upon findings and in accordance with the risk-based (adaptive) approach to monitoring. </w:t>
      </w:r>
    </w:p>
    <w:p w14:paraId="4DD40717" w14:textId="77777777" w:rsidR="00E43935" w:rsidRPr="00E43935" w:rsidRDefault="00E43935" w:rsidP="00E43935">
      <w:pPr>
        <w:pStyle w:val="ListParagraph"/>
        <w:spacing w:after="0"/>
        <w:ind w:left="0"/>
        <w:jc w:val="both"/>
        <w:rPr>
          <w:rFonts w:asciiTheme="minorHAnsi" w:hAnsiTheme="minorHAnsi" w:cstheme="minorHAnsi"/>
        </w:rPr>
      </w:pPr>
    </w:p>
    <w:p w14:paraId="66C433AA" w14:textId="306EF550" w:rsidR="00653792" w:rsidRPr="00E43935" w:rsidRDefault="00653792" w:rsidP="00E43935">
      <w:pPr>
        <w:spacing w:after="0"/>
        <w:jc w:val="both"/>
        <w:rPr>
          <w:rFonts w:asciiTheme="minorHAnsi" w:hAnsiTheme="minorHAnsi" w:cstheme="minorHAnsi"/>
          <w:lang w:val="en-US"/>
        </w:rPr>
      </w:pPr>
      <w:r w:rsidRPr="00E43935">
        <w:rPr>
          <w:rFonts w:asciiTheme="minorHAnsi" w:hAnsiTheme="minorHAnsi" w:cstheme="minorHAnsi"/>
          <w:lang w:val="en-US"/>
        </w:rPr>
        <w:t>If the site does not enroll any patients or enrolment is stopped, regular monitoring visits will not be scheduled. If there is an extended gap in trial activities the moni</w:t>
      </w:r>
      <w:r w:rsidR="00C619B2">
        <w:rPr>
          <w:rFonts w:asciiTheme="minorHAnsi" w:hAnsiTheme="minorHAnsi" w:cstheme="minorHAnsi"/>
          <w:lang w:val="en-US"/>
        </w:rPr>
        <w:t>tor will ensure that site staff</w:t>
      </w:r>
      <w:r w:rsidRPr="00E43935">
        <w:rPr>
          <w:rFonts w:asciiTheme="minorHAnsi" w:hAnsiTheme="minorHAnsi" w:cstheme="minorHAnsi"/>
          <w:lang w:val="en-US"/>
        </w:rPr>
        <w:t xml:space="preserve"> are appropriately trained when trial activities recommence.</w:t>
      </w:r>
    </w:p>
    <w:p w14:paraId="5D756513" w14:textId="7BB3678F" w:rsidR="00E43935" w:rsidRPr="00E43935" w:rsidRDefault="00E43935" w:rsidP="00E43935">
      <w:pPr>
        <w:spacing w:after="0"/>
        <w:jc w:val="both"/>
        <w:rPr>
          <w:rFonts w:asciiTheme="minorHAnsi" w:hAnsiTheme="minorHAnsi" w:cstheme="minorHAnsi"/>
          <w:lang w:val="en-US"/>
        </w:rPr>
      </w:pPr>
    </w:p>
    <w:p w14:paraId="2C98DB1A" w14:textId="71F54FB6" w:rsidR="00E43935" w:rsidRDefault="00E43935" w:rsidP="00E43935">
      <w:pPr>
        <w:spacing w:after="0"/>
        <w:jc w:val="both"/>
        <w:rPr>
          <w:rFonts w:asciiTheme="minorHAnsi" w:hAnsiTheme="minorHAnsi" w:cstheme="minorHAnsi"/>
          <w:lang w:val="en-US"/>
        </w:rPr>
      </w:pPr>
    </w:p>
    <w:p w14:paraId="6AFFEE4E" w14:textId="77777777" w:rsidR="00AE426A" w:rsidRDefault="00AE426A" w:rsidP="00E43935">
      <w:pPr>
        <w:spacing w:after="0"/>
        <w:jc w:val="both"/>
        <w:rPr>
          <w:rFonts w:asciiTheme="minorHAnsi" w:hAnsiTheme="minorHAnsi" w:cstheme="minorHAnsi"/>
          <w:lang w:val="en-US"/>
        </w:rPr>
      </w:pPr>
    </w:p>
    <w:p w14:paraId="060AE7AD" w14:textId="77777777" w:rsidR="00D648D2" w:rsidRPr="00E43935" w:rsidRDefault="00D648D2" w:rsidP="00A95FB2">
      <w:pPr>
        <w:pStyle w:val="Heading1"/>
      </w:pPr>
      <w:r w:rsidRPr="00E43935">
        <w:lastRenderedPageBreak/>
        <w:t xml:space="preserve">Frequency </w:t>
      </w:r>
      <w:r w:rsidRPr="00A95FB2">
        <w:t>of</w:t>
      </w:r>
      <w:r w:rsidRPr="00E43935">
        <w:t xml:space="preserve"> monitoring visits</w:t>
      </w:r>
    </w:p>
    <w:p w14:paraId="6B669D3B" w14:textId="77777777" w:rsidR="00D648D2" w:rsidRPr="00E43935" w:rsidRDefault="00D648D2" w:rsidP="00A95FB2">
      <w:pPr>
        <w:pStyle w:val="Heading2"/>
      </w:pPr>
      <w:r w:rsidRPr="00A95FB2">
        <w:t>Initiation</w:t>
      </w:r>
      <w:r w:rsidRPr="00E43935">
        <w:t xml:space="preserve"> visit</w:t>
      </w:r>
    </w:p>
    <w:p w14:paraId="6B9E953C" w14:textId="11BF8674" w:rsidR="00A77BEC" w:rsidRDefault="00424A9E" w:rsidP="00E43935">
      <w:pPr>
        <w:pStyle w:val="ListParagraph"/>
        <w:spacing w:before="240" w:after="0"/>
        <w:jc w:val="both"/>
        <w:rPr>
          <w:rFonts w:asciiTheme="minorHAnsi" w:hAnsiTheme="minorHAnsi" w:cstheme="minorHAnsi"/>
        </w:rPr>
      </w:pPr>
      <w:r w:rsidRPr="00E43935">
        <w:rPr>
          <w:rFonts w:asciiTheme="minorHAnsi" w:hAnsiTheme="minorHAnsi" w:cstheme="minorHAnsi"/>
        </w:rPr>
        <w:t xml:space="preserve">The </w:t>
      </w:r>
      <w:r w:rsidR="00653792" w:rsidRPr="00E43935">
        <w:rPr>
          <w:rFonts w:asciiTheme="minorHAnsi" w:hAnsiTheme="minorHAnsi" w:cstheme="minorHAnsi"/>
        </w:rPr>
        <w:t xml:space="preserve">study team </w:t>
      </w:r>
      <w:r w:rsidRPr="00E43935">
        <w:rPr>
          <w:rFonts w:asciiTheme="minorHAnsi" w:hAnsiTheme="minorHAnsi" w:cstheme="minorHAnsi"/>
        </w:rPr>
        <w:t xml:space="preserve">initiation visit took place </w:t>
      </w:r>
      <w:r w:rsidR="00A77BEC" w:rsidRPr="00A77BEC">
        <w:rPr>
          <w:rFonts w:asciiTheme="minorHAnsi" w:hAnsiTheme="minorHAnsi" w:cstheme="minorHAnsi"/>
          <w:b/>
        </w:rPr>
        <w:t>&lt;</w:t>
      </w:r>
      <w:r w:rsidR="00B71303" w:rsidRPr="00A77BEC">
        <w:rPr>
          <w:rFonts w:asciiTheme="minorHAnsi" w:hAnsiTheme="minorHAnsi" w:cstheme="minorHAnsi"/>
          <w:b/>
        </w:rPr>
        <w:t>on-site</w:t>
      </w:r>
      <w:r w:rsidR="00A77BEC" w:rsidRPr="00A77BEC">
        <w:rPr>
          <w:rFonts w:asciiTheme="minorHAnsi" w:hAnsiTheme="minorHAnsi" w:cstheme="minorHAnsi"/>
          <w:b/>
        </w:rPr>
        <w:t>/remotely&gt;</w:t>
      </w:r>
      <w:r w:rsidR="00B71303" w:rsidRPr="00E43935">
        <w:rPr>
          <w:rFonts w:asciiTheme="minorHAnsi" w:hAnsiTheme="minorHAnsi" w:cstheme="minorHAnsi"/>
        </w:rPr>
        <w:t xml:space="preserve"> </w:t>
      </w:r>
      <w:r w:rsidRPr="00E43935">
        <w:rPr>
          <w:rFonts w:asciiTheme="minorHAnsi" w:hAnsiTheme="minorHAnsi" w:cstheme="minorHAnsi"/>
        </w:rPr>
        <w:t xml:space="preserve">on </w:t>
      </w:r>
      <w:r w:rsidR="00A77BEC" w:rsidRPr="00A77BEC">
        <w:rPr>
          <w:rFonts w:asciiTheme="minorHAnsi" w:hAnsiTheme="minorHAnsi" w:cstheme="minorHAnsi"/>
          <w:b/>
        </w:rPr>
        <w:t>&lt;insert date&gt;</w:t>
      </w:r>
      <w:r w:rsidR="00F12D32" w:rsidRPr="00E43935">
        <w:rPr>
          <w:rFonts w:asciiTheme="minorHAnsi" w:hAnsiTheme="minorHAnsi" w:cstheme="minorHAnsi"/>
        </w:rPr>
        <w:t>.</w:t>
      </w:r>
    </w:p>
    <w:p w14:paraId="04B80801" w14:textId="77777777" w:rsidR="00C619B2" w:rsidRPr="00A77BEC" w:rsidRDefault="00C619B2" w:rsidP="00C619B2">
      <w:pPr>
        <w:pStyle w:val="ListParagraph"/>
        <w:spacing w:before="240" w:after="0"/>
        <w:jc w:val="both"/>
        <w:rPr>
          <w:rFonts w:asciiTheme="minorHAnsi" w:hAnsiTheme="minorHAnsi" w:cstheme="minorHAnsi"/>
          <w:b/>
        </w:rPr>
      </w:pPr>
      <w:r w:rsidRPr="00A77BEC">
        <w:rPr>
          <w:rFonts w:asciiTheme="minorHAnsi" w:hAnsiTheme="minorHAnsi" w:cstheme="minorHAnsi"/>
          <w:b/>
        </w:rPr>
        <w:t>&lt;insert details regarding additional site initiation activities being conducted by vendor(s)</w:t>
      </w:r>
      <w:r>
        <w:rPr>
          <w:rFonts w:asciiTheme="minorHAnsi" w:hAnsiTheme="minorHAnsi" w:cstheme="minorHAnsi"/>
          <w:b/>
        </w:rPr>
        <w:t xml:space="preserve"> and comments regarding Sponsor oversight of vendor monitoring, if applicable</w:t>
      </w:r>
      <w:r w:rsidRPr="00A77BEC">
        <w:rPr>
          <w:rFonts w:asciiTheme="minorHAnsi" w:hAnsiTheme="minorHAnsi" w:cstheme="minorHAnsi"/>
          <w:b/>
        </w:rPr>
        <w:t xml:space="preserve">&gt; </w:t>
      </w:r>
    </w:p>
    <w:p w14:paraId="63DE13FC" w14:textId="77777777" w:rsidR="00D648D2" w:rsidRPr="00E43935" w:rsidRDefault="00D648D2" w:rsidP="00A95FB2">
      <w:pPr>
        <w:pStyle w:val="Heading2"/>
      </w:pPr>
      <w:r w:rsidRPr="00E43935">
        <w:t>First monitoring visit</w:t>
      </w:r>
    </w:p>
    <w:p w14:paraId="2C7677E0" w14:textId="2B8894B5" w:rsidR="00F12D32" w:rsidRPr="00E43935" w:rsidRDefault="000D2FE0" w:rsidP="00E43935">
      <w:pPr>
        <w:pStyle w:val="ListParagraph"/>
        <w:spacing w:before="240" w:after="0"/>
        <w:jc w:val="both"/>
        <w:rPr>
          <w:rFonts w:asciiTheme="minorHAnsi" w:hAnsiTheme="minorHAnsi" w:cstheme="minorHAnsi"/>
        </w:rPr>
      </w:pPr>
      <w:r w:rsidRPr="00E43935">
        <w:rPr>
          <w:rFonts w:asciiTheme="minorHAnsi" w:hAnsiTheme="minorHAnsi" w:cstheme="minorHAnsi"/>
        </w:rPr>
        <w:t>The</w:t>
      </w:r>
      <w:r w:rsidR="00424A9E" w:rsidRPr="00E43935">
        <w:rPr>
          <w:rFonts w:asciiTheme="minorHAnsi" w:hAnsiTheme="minorHAnsi" w:cstheme="minorHAnsi"/>
        </w:rPr>
        <w:t xml:space="preserve"> first monitoring visit will take place </w:t>
      </w:r>
      <w:r w:rsidR="00A77BEC" w:rsidRPr="00A77BEC">
        <w:rPr>
          <w:rFonts w:asciiTheme="minorHAnsi" w:hAnsiTheme="minorHAnsi" w:cstheme="minorHAnsi"/>
          <w:b/>
        </w:rPr>
        <w:t>&lt;on-site/remotely&gt;</w:t>
      </w:r>
      <w:r w:rsidR="00A77BEC" w:rsidRPr="00E43935">
        <w:rPr>
          <w:rFonts w:asciiTheme="minorHAnsi" w:hAnsiTheme="minorHAnsi" w:cstheme="minorHAnsi"/>
        </w:rPr>
        <w:t xml:space="preserve"> </w:t>
      </w:r>
      <w:r w:rsidR="00F12D32" w:rsidRPr="00E43935">
        <w:rPr>
          <w:rFonts w:asciiTheme="minorHAnsi" w:hAnsiTheme="minorHAnsi" w:cstheme="minorHAnsi"/>
        </w:rPr>
        <w:t xml:space="preserve">within </w:t>
      </w:r>
      <w:r w:rsidR="00A77BEC" w:rsidRPr="00A77BEC">
        <w:rPr>
          <w:rFonts w:asciiTheme="minorHAnsi" w:hAnsiTheme="minorHAnsi" w:cstheme="minorHAnsi"/>
          <w:b/>
        </w:rPr>
        <w:t>&lt;insert details</w:t>
      </w:r>
      <w:r w:rsidR="00A77BEC">
        <w:rPr>
          <w:rFonts w:asciiTheme="minorHAnsi" w:hAnsiTheme="minorHAnsi" w:cstheme="minorHAnsi"/>
          <w:b/>
        </w:rPr>
        <w:t>, ensuring that it is specified that a visit takes place before or after randomisation and checking against the monitoring quote as appropriate</w:t>
      </w:r>
      <w:r w:rsidR="00A77BEC" w:rsidRPr="00A77BEC">
        <w:rPr>
          <w:rFonts w:asciiTheme="minorHAnsi" w:hAnsiTheme="minorHAnsi" w:cstheme="minorHAnsi"/>
          <w:b/>
        </w:rPr>
        <w:t>&gt;</w:t>
      </w:r>
      <w:r w:rsidR="003E349F" w:rsidRPr="00E43935">
        <w:rPr>
          <w:rFonts w:asciiTheme="minorHAnsi" w:hAnsiTheme="minorHAnsi" w:cstheme="minorHAnsi"/>
        </w:rPr>
        <w:t>.</w:t>
      </w:r>
      <w:r w:rsidR="00A77BEC">
        <w:rPr>
          <w:rFonts w:asciiTheme="minorHAnsi" w:hAnsiTheme="minorHAnsi" w:cstheme="minorHAnsi"/>
        </w:rPr>
        <w:t xml:space="preserve"> </w:t>
      </w:r>
      <w:r w:rsidR="00F12D32" w:rsidRPr="00E43935">
        <w:rPr>
          <w:rFonts w:asciiTheme="minorHAnsi" w:hAnsiTheme="minorHAnsi" w:cstheme="minorHAnsi"/>
        </w:rPr>
        <w:t xml:space="preserve">   </w:t>
      </w:r>
    </w:p>
    <w:p w14:paraId="6F294FA2" w14:textId="344EF273" w:rsidR="000D2FE0" w:rsidRPr="00E43935" w:rsidRDefault="00D648D2" w:rsidP="00A95FB2">
      <w:pPr>
        <w:pStyle w:val="Heading2"/>
      </w:pPr>
      <w:r w:rsidRPr="00E43935">
        <w:t>Interim monitoring visits</w:t>
      </w:r>
    </w:p>
    <w:p w14:paraId="579539AE" w14:textId="56529F75" w:rsidR="00F12D32" w:rsidRPr="00E43935" w:rsidRDefault="00F12D32" w:rsidP="00E43935">
      <w:pPr>
        <w:pStyle w:val="ListParagraph"/>
        <w:spacing w:before="240" w:after="0"/>
        <w:jc w:val="both"/>
        <w:rPr>
          <w:rFonts w:asciiTheme="minorHAnsi" w:hAnsiTheme="minorHAnsi" w:cstheme="minorHAnsi"/>
        </w:rPr>
      </w:pPr>
      <w:r w:rsidRPr="00E43935">
        <w:rPr>
          <w:rFonts w:asciiTheme="minorHAnsi" w:hAnsiTheme="minorHAnsi" w:cstheme="minorHAnsi"/>
        </w:rPr>
        <w:t xml:space="preserve">Interim monitoring visits will take place </w:t>
      </w:r>
      <w:r w:rsidR="00A77BEC" w:rsidRPr="00A77BEC">
        <w:rPr>
          <w:rFonts w:asciiTheme="minorHAnsi" w:hAnsiTheme="minorHAnsi" w:cstheme="minorHAnsi"/>
          <w:b/>
        </w:rPr>
        <w:t>&lt;on-site/remotely&gt;</w:t>
      </w:r>
      <w:r w:rsidR="00A77BEC" w:rsidRPr="00E43935">
        <w:rPr>
          <w:rFonts w:asciiTheme="minorHAnsi" w:hAnsiTheme="minorHAnsi" w:cstheme="minorHAnsi"/>
        </w:rPr>
        <w:t xml:space="preserve"> </w:t>
      </w:r>
      <w:r w:rsidR="00A77BEC" w:rsidRPr="00A77BEC">
        <w:rPr>
          <w:rFonts w:asciiTheme="minorHAnsi" w:hAnsiTheme="minorHAnsi" w:cstheme="minorHAnsi"/>
          <w:b/>
        </w:rPr>
        <w:t>&lt;insert details</w:t>
      </w:r>
      <w:r w:rsidR="00A77BEC">
        <w:rPr>
          <w:rFonts w:asciiTheme="minorHAnsi" w:hAnsiTheme="minorHAnsi" w:cstheme="minorHAnsi"/>
          <w:b/>
        </w:rPr>
        <w:t>, ensuring that it is specified that a visit takes place before or after a certain number of</w:t>
      </w:r>
      <w:r w:rsidR="00C619B2">
        <w:rPr>
          <w:rFonts w:asciiTheme="minorHAnsi" w:hAnsiTheme="minorHAnsi" w:cstheme="minorHAnsi"/>
          <w:b/>
        </w:rPr>
        <w:t xml:space="preserve"> participants are recruited/randomisation</w:t>
      </w:r>
      <w:r w:rsidR="00A77BEC">
        <w:rPr>
          <w:rFonts w:asciiTheme="minorHAnsi" w:hAnsiTheme="minorHAnsi" w:cstheme="minorHAnsi"/>
          <w:b/>
        </w:rPr>
        <w:t xml:space="preserve"> and checking against the monitoring quote as appropriate</w:t>
      </w:r>
      <w:r w:rsidR="00A77BEC" w:rsidRPr="00A77BEC">
        <w:rPr>
          <w:rFonts w:asciiTheme="minorHAnsi" w:hAnsiTheme="minorHAnsi" w:cstheme="minorHAnsi"/>
          <w:b/>
        </w:rPr>
        <w:t>&gt;</w:t>
      </w:r>
      <w:r w:rsidR="00A77BEC">
        <w:rPr>
          <w:rFonts w:asciiTheme="minorHAnsi" w:hAnsiTheme="minorHAnsi" w:cstheme="minorHAnsi"/>
          <w:b/>
        </w:rPr>
        <w:t xml:space="preserve"> </w:t>
      </w:r>
      <w:r w:rsidRPr="00E43935">
        <w:rPr>
          <w:rFonts w:asciiTheme="minorHAnsi" w:hAnsiTheme="minorHAnsi" w:cstheme="minorHAnsi"/>
        </w:rPr>
        <w:t xml:space="preserve">in accordance with the </w:t>
      </w:r>
      <w:r w:rsidR="00A87FCF" w:rsidRPr="00E43935">
        <w:rPr>
          <w:rFonts w:asciiTheme="minorHAnsi" w:hAnsiTheme="minorHAnsi" w:cstheme="minorHAnsi"/>
        </w:rPr>
        <w:t xml:space="preserve">rate of recruitment, </w:t>
      </w:r>
      <w:r w:rsidRPr="00E43935">
        <w:rPr>
          <w:rFonts w:asciiTheme="minorHAnsi" w:hAnsiTheme="minorHAnsi" w:cstheme="minorHAnsi"/>
        </w:rPr>
        <w:t>the amount of data being generated</w:t>
      </w:r>
      <w:r w:rsidR="00A87FCF" w:rsidRPr="00E43935">
        <w:rPr>
          <w:rFonts w:asciiTheme="minorHAnsi" w:hAnsiTheme="minorHAnsi" w:cstheme="minorHAnsi"/>
        </w:rPr>
        <w:t xml:space="preserve">, </w:t>
      </w:r>
      <w:r w:rsidR="00A87FCF" w:rsidRPr="00E43935">
        <w:rPr>
          <w:rFonts w:asciiTheme="minorHAnsi" w:hAnsiTheme="minorHAnsi" w:cstheme="minorHAnsi"/>
          <w:lang w:val="en-US"/>
        </w:rPr>
        <w:t>quality issues, site compliance or other trial issues</w:t>
      </w:r>
      <w:r w:rsidRPr="00E43935">
        <w:rPr>
          <w:rFonts w:asciiTheme="minorHAnsi" w:hAnsiTheme="minorHAnsi" w:cstheme="minorHAnsi"/>
        </w:rPr>
        <w:t xml:space="preserve">. Up to </w:t>
      </w:r>
      <w:r w:rsidR="00A77BEC" w:rsidRPr="00A77BEC">
        <w:rPr>
          <w:rFonts w:asciiTheme="minorHAnsi" w:hAnsiTheme="minorHAnsi" w:cstheme="minorHAnsi"/>
          <w:b/>
        </w:rPr>
        <w:t>&lt;insert details</w:t>
      </w:r>
      <w:r w:rsidR="00A77BEC">
        <w:rPr>
          <w:rFonts w:asciiTheme="minorHAnsi" w:hAnsiTheme="minorHAnsi" w:cstheme="minorHAnsi"/>
          <w:b/>
        </w:rPr>
        <w:t xml:space="preserve"> checking against the monitoring quote as appropriate</w:t>
      </w:r>
      <w:r w:rsidR="00A77BEC" w:rsidRPr="00A77BEC">
        <w:rPr>
          <w:rFonts w:asciiTheme="minorHAnsi" w:hAnsiTheme="minorHAnsi" w:cstheme="minorHAnsi"/>
          <w:b/>
        </w:rPr>
        <w:t>&gt;</w:t>
      </w:r>
      <w:r w:rsidRPr="00E43935">
        <w:rPr>
          <w:rFonts w:asciiTheme="minorHAnsi" w:hAnsiTheme="minorHAnsi" w:cstheme="minorHAnsi"/>
        </w:rPr>
        <w:t xml:space="preserve"> interim monitoring visits will be conducted. Remote monitoring visits may need to be conducted more often but </w:t>
      </w:r>
      <w:r w:rsidR="00E43935" w:rsidRPr="00E43935">
        <w:rPr>
          <w:rFonts w:asciiTheme="minorHAnsi" w:hAnsiTheme="minorHAnsi" w:cstheme="minorHAnsi"/>
        </w:rPr>
        <w:t>would</w:t>
      </w:r>
      <w:r w:rsidRPr="00E43935">
        <w:rPr>
          <w:rFonts w:asciiTheme="minorHAnsi" w:hAnsiTheme="minorHAnsi" w:cstheme="minorHAnsi"/>
        </w:rPr>
        <w:t xml:space="preserve"> focus on specific matters/areas so as to no</w:t>
      </w:r>
      <w:r w:rsidR="00E43935" w:rsidRPr="00E43935">
        <w:rPr>
          <w:rFonts w:asciiTheme="minorHAnsi" w:hAnsiTheme="minorHAnsi" w:cstheme="minorHAnsi"/>
        </w:rPr>
        <w:t>t over-burden the research team</w:t>
      </w:r>
      <w:r w:rsidRPr="00E43935">
        <w:rPr>
          <w:rFonts w:asciiTheme="minorHAnsi" w:hAnsiTheme="minorHAnsi" w:cstheme="minorHAnsi"/>
        </w:rPr>
        <w:t xml:space="preserve">.  </w:t>
      </w:r>
    </w:p>
    <w:p w14:paraId="433D7C63" w14:textId="29497AF7" w:rsidR="00A87FCF" w:rsidRPr="00E43935" w:rsidRDefault="004E7436" w:rsidP="00E43935">
      <w:pPr>
        <w:pStyle w:val="ListParagraph"/>
        <w:spacing w:before="240" w:after="0"/>
        <w:jc w:val="both"/>
        <w:rPr>
          <w:rFonts w:asciiTheme="minorHAnsi" w:hAnsiTheme="minorHAnsi" w:cstheme="minorHAnsi"/>
        </w:rPr>
      </w:pPr>
      <w:r w:rsidRPr="00E43935">
        <w:rPr>
          <w:rFonts w:asciiTheme="minorHAnsi" w:hAnsiTheme="minorHAnsi" w:cstheme="minorHAnsi"/>
        </w:rPr>
        <w:t xml:space="preserve">The </w:t>
      </w:r>
      <w:r w:rsidR="000D2FE0" w:rsidRPr="00E43935">
        <w:rPr>
          <w:rFonts w:asciiTheme="minorHAnsi" w:hAnsiTheme="minorHAnsi" w:cstheme="minorHAnsi"/>
        </w:rPr>
        <w:t xml:space="preserve">study </w:t>
      </w:r>
      <w:r w:rsidRPr="00E43935">
        <w:rPr>
          <w:rFonts w:asciiTheme="minorHAnsi" w:hAnsiTheme="minorHAnsi" w:cstheme="minorHAnsi"/>
        </w:rPr>
        <w:t>database will be monitored periodically to ensure that data transcription from the CRFs is accurate</w:t>
      </w:r>
      <w:r w:rsidR="00E43935" w:rsidRPr="00E43935">
        <w:rPr>
          <w:rFonts w:asciiTheme="minorHAnsi" w:hAnsiTheme="minorHAnsi" w:cstheme="minorHAnsi"/>
        </w:rPr>
        <w:t>, that data are being entered in a timely manner, that data fields are not left blank without reason and to oversee the number and type of data value overrides/errors</w:t>
      </w:r>
      <w:r w:rsidRPr="00E43935">
        <w:rPr>
          <w:rFonts w:asciiTheme="minorHAnsi" w:hAnsiTheme="minorHAnsi" w:cstheme="minorHAnsi"/>
        </w:rPr>
        <w:t xml:space="preserve">. </w:t>
      </w:r>
      <w:r w:rsidR="006A1C36">
        <w:rPr>
          <w:rFonts w:asciiTheme="minorHAnsi" w:hAnsiTheme="minorHAnsi" w:cstheme="minorHAnsi"/>
        </w:rPr>
        <w:t>Queries raised</w:t>
      </w:r>
      <w:r w:rsidR="00201D70" w:rsidRPr="00E43935">
        <w:rPr>
          <w:rFonts w:asciiTheme="minorHAnsi" w:hAnsiTheme="minorHAnsi" w:cstheme="minorHAnsi"/>
        </w:rPr>
        <w:t xml:space="preserve"> through the </w:t>
      </w:r>
      <w:proofErr w:type="spellStart"/>
      <w:r w:rsidR="00201D70" w:rsidRPr="00E43935">
        <w:rPr>
          <w:rFonts w:asciiTheme="minorHAnsi" w:hAnsiTheme="minorHAnsi" w:cstheme="minorHAnsi"/>
        </w:rPr>
        <w:t>eCRF</w:t>
      </w:r>
      <w:proofErr w:type="spellEnd"/>
      <w:r w:rsidR="00201D70" w:rsidRPr="00E43935">
        <w:rPr>
          <w:rFonts w:asciiTheme="minorHAnsi" w:hAnsiTheme="minorHAnsi" w:cstheme="minorHAnsi"/>
        </w:rPr>
        <w:t xml:space="preserve"> system will form part of the monitoring schedule</w:t>
      </w:r>
      <w:r w:rsidR="006A1C36">
        <w:rPr>
          <w:rFonts w:asciiTheme="minorHAnsi" w:hAnsiTheme="minorHAnsi" w:cstheme="minorHAnsi"/>
        </w:rPr>
        <w:t xml:space="preserve">. </w:t>
      </w:r>
    </w:p>
    <w:p w14:paraId="66B346FE" w14:textId="21E8B08B" w:rsidR="00A87FCF" w:rsidRDefault="00A87FCF" w:rsidP="00E43935">
      <w:pPr>
        <w:pStyle w:val="ListParagraph"/>
        <w:spacing w:before="240" w:after="0"/>
        <w:jc w:val="both"/>
        <w:rPr>
          <w:rFonts w:asciiTheme="minorHAnsi" w:hAnsiTheme="minorHAnsi" w:cstheme="minorHAnsi"/>
        </w:rPr>
      </w:pPr>
      <w:r w:rsidRPr="00E43935">
        <w:rPr>
          <w:rFonts w:asciiTheme="minorHAnsi" w:hAnsiTheme="minorHAnsi" w:cstheme="minorHAnsi"/>
        </w:rPr>
        <w:t xml:space="preserve">The trial will also be subject to </w:t>
      </w:r>
      <w:r w:rsidR="00A77BEC" w:rsidRPr="00A77BEC">
        <w:rPr>
          <w:rFonts w:asciiTheme="minorHAnsi" w:hAnsiTheme="minorHAnsi" w:cstheme="minorHAnsi"/>
          <w:b/>
        </w:rPr>
        <w:t>&lt;insert details</w:t>
      </w:r>
      <w:r w:rsidR="00A77BEC">
        <w:rPr>
          <w:rFonts w:asciiTheme="minorHAnsi" w:hAnsiTheme="minorHAnsi" w:cstheme="minorHAnsi"/>
          <w:b/>
        </w:rPr>
        <w:t xml:space="preserve"> checking against the monitoring quote as appropriate</w:t>
      </w:r>
      <w:r w:rsidR="00A77BEC" w:rsidRPr="00A77BEC">
        <w:rPr>
          <w:rFonts w:asciiTheme="minorHAnsi" w:hAnsiTheme="minorHAnsi" w:cstheme="minorHAnsi"/>
          <w:b/>
        </w:rPr>
        <w:t>&gt;</w:t>
      </w:r>
      <w:r w:rsidRPr="00E43935">
        <w:rPr>
          <w:rFonts w:asciiTheme="minorHAnsi" w:hAnsiTheme="minorHAnsi" w:cstheme="minorHAnsi"/>
        </w:rPr>
        <w:t xml:space="preserve"> audit visit</w:t>
      </w:r>
      <w:r w:rsidR="00A77BEC">
        <w:rPr>
          <w:rFonts w:asciiTheme="minorHAnsi" w:hAnsiTheme="minorHAnsi" w:cstheme="minorHAnsi"/>
          <w:b/>
        </w:rPr>
        <w:t>(s)</w:t>
      </w:r>
      <w:r w:rsidRPr="00E43935">
        <w:rPr>
          <w:rFonts w:asciiTheme="minorHAnsi" w:hAnsiTheme="minorHAnsi" w:cstheme="minorHAnsi"/>
        </w:rPr>
        <w:t xml:space="preserve"> to be completed by the Sponsor</w:t>
      </w:r>
      <w:r w:rsidR="00A77BEC">
        <w:rPr>
          <w:rFonts w:asciiTheme="minorHAnsi" w:hAnsiTheme="minorHAnsi" w:cstheme="minorHAnsi"/>
        </w:rPr>
        <w:t xml:space="preserve"> delegate</w:t>
      </w:r>
      <w:r w:rsidRPr="00E43935">
        <w:rPr>
          <w:rFonts w:asciiTheme="minorHAnsi" w:hAnsiTheme="minorHAnsi" w:cstheme="minorHAnsi"/>
        </w:rPr>
        <w:t xml:space="preserve">. </w:t>
      </w:r>
    </w:p>
    <w:p w14:paraId="2273B2C7" w14:textId="61024705" w:rsidR="00A77BEC" w:rsidRPr="00A77BEC" w:rsidRDefault="00A77BEC" w:rsidP="00A77BEC">
      <w:pPr>
        <w:pStyle w:val="ListParagraph"/>
        <w:spacing w:before="240" w:after="0"/>
        <w:rPr>
          <w:rFonts w:asciiTheme="minorHAnsi" w:hAnsiTheme="minorHAnsi" w:cstheme="minorHAnsi"/>
          <w:b/>
          <w:i/>
          <w:color w:val="00B0F0"/>
        </w:rPr>
      </w:pPr>
      <w:r w:rsidRPr="00A77BEC">
        <w:rPr>
          <w:rFonts w:asciiTheme="minorHAnsi" w:hAnsiTheme="minorHAnsi" w:cstheme="minorHAnsi"/>
          <w:b/>
          <w:i/>
          <w:color w:val="00B0F0"/>
        </w:rPr>
        <w:t>Consider the timing of interim monitoring visit(s) for data monitoring committee review of data.</w:t>
      </w:r>
    </w:p>
    <w:p w14:paraId="22974360" w14:textId="77777777" w:rsidR="00D648D2" w:rsidRPr="00E43935" w:rsidRDefault="00D648D2" w:rsidP="00A95FB2">
      <w:pPr>
        <w:pStyle w:val="Heading2"/>
      </w:pPr>
      <w:r w:rsidRPr="00E43935">
        <w:t>Close out visits</w:t>
      </w:r>
    </w:p>
    <w:p w14:paraId="20007200" w14:textId="5D1B0361" w:rsidR="00B66AAB" w:rsidRDefault="00B66AAB" w:rsidP="00E43935">
      <w:pPr>
        <w:pStyle w:val="ListParagraph"/>
        <w:spacing w:before="240" w:after="0"/>
        <w:jc w:val="both"/>
        <w:rPr>
          <w:rFonts w:asciiTheme="minorHAnsi" w:hAnsiTheme="minorHAnsi" w:cstheme="minorHAnsi"/>
        </w:rPr>
      </w:pPr>
      <w:r w:rsidRPr="00E43935">
        <w:rPr>
          <w:rFonts w:asciiTheme="minorHAnsi" w:hAnsiTheme="minorHAnsi" w:cstheme="minorHAnsi"/>
        </w:rPr>
        <w:t xml:space="preserve">A close out </w:t>
      </w:r>
      <w:r w:rsidR="00201D70" w:rsidRPr="00E43935">
        <w:rPr>
          <w:rFonts w:asciiTheme="minorHAnsi" w:hAnsiTheme="minorHAnsi" w:cstheme="minorHAnsi"/>
        </w:rPr>
        <w:t>visit will be conducted within 3</w:t>
      </w:r>
      <w:r w:rsidRPr="00E43935">
        <w:rPr>
          <w:rFonts w:asciiTheme="minorHAnsi" w:hAnsiTheme="minorHAnsi" w:cstheme="minorHAnsi"/>
        </w:rPr>
        <w:t xml:space="preserve"> months of last patient last visit</w:t>
      </w:r>
      <w:r w:rsidR="00DC2318">
        <w:rPr>
          <w:rFonts w:asciiTheme="minorHAnsi" w:hAnsiTheme="minorHAnsi" w:cstheme="minorHAnsi"/>
        </w:rPr>
        <w:t>, and prior to database lock</w:t>
      </w:r>
      <w:r w:rsidRPr="00E43935">
        <w:rPr>
          <w:rFonts w:asciiTheme="minorHAnsi" w:hAnsiTheme="minorHAnsi" w:cstheme="minorHAnsi"/>
        </w:rPr>
        <w:t xml:space="preserve">.  </w:t>
      </w:r>
    </w:p>
    <w:p w14:paraId="34D39F4F" w14:textId="2947D0D5" w:rsidR="00644EF9" w:rsidRPr="00644EF9" w:rsidRDefault="00644EF9" w:rsidP="00E43935">
      <w:pPr>
        <w:pStyle w:val="ListParagraph"/>
        <w:spacing w:before="240" w:after="0"/>
        <w:jc w:val="both"/>
        <w:rPr>
          <w:rFonts w:asciiTheme="minorHAnsi" w:hAnsiTheme="minorHAnsi" w:cstheme="minorHAnsi"/>
          <w:b/>
          <w:color w:val="00B0F0"/>
        </w:rPr>
      </w:pPr>
      <w:r w:rsidRPr="00644EF9">
        <w:rPr>
          <w:rFonts w:asciiTheme="minorHAnsi" w:hAnsiTheme="minorHAnsi" w:cstheme="minorHAnsi"/>
          <w:b/>
          <w:i/>
          <w:color w:val="00B0F0"/>
        </w:rPr>
        <w:t>Ensure all aspects of study closure are completed as per Sponsor Standard Operating Procedure S-1024</w:t>
      </w:r>
      <w:r>
        <w:rPr>
          <w:rFonts w:asciiTheme="minorHAnsi" w:hAnsiTheme="minorHAnsi" w:cstheme="minorHAnsi"/>
          <w:b/>
          <w:i/>
          <w:color w:val="00B0F0"/>
        </w:rPr>
        <w:t>.</w:t>
      </w:r>
    </w:p>
    <w:p w14:paraId="4C221F59" w14:textId="77777777" w:rsidR="00D648D2" w:rsidRPr="00E43935" w:rsidRDefault="00D648D2" w:rsidP="00A95FB2">
      <w:pPr>
        <w:pStyle w:val="Heading2"/>
      </w:pPr>
      <w:r w:rsidRPr="00E43935">
        <w:t>Contact with the Principal Investigator</w:t>
      </w:r>
    </w:p>
    <w:p w14:paraId="54197FC2" w14:textId="501466F6" w:rsidR="00D648D2" w:rsidRPr="00E43935" w:rsidRDefault="00271157" w:rsidP="00E43935">
      <w:pPr>
        <w:pStyle w:val="ListParagraph"/>
        <w:spacing w:before="240" w:after="0"/>
        <w:ind w:left="709"/>
        <w:jc w:val="both"/>
        <w:rPr>
          <w:rFonts w:asciiTheme="minorHAnsi" w:hAnsiTheme="minorHAnsi" w:cstheme="minorHAnsi"/>
        </w:rPr>
      </w:pPr>
      <w:r w:rsidRPr="00E43935">
        <w:rPr>
          <w:rFonts w:asciiTheme="minorHAnsi" w:hAnsiTheme="minorHAnsi" w:cstheme="minorHAnsi"/>
        </w:rPr>
        <w:lastRenderedPageBreak/>
        <w:t>The monitor will meet</w:t>
      </w:r>
      <w:r w:rsidR="00D648D2" w:rsidRPr="00E43935">
        <w:rPr>
          <w:rFonts w:asciiTheme="minorHAnsi" w:hAnsiTheme="minorHAnsi" w:cstheme="minorHAnsi"/>
        </w:rPr>
        <w:t xml:space="preserve">/have contact </w:t>
      </w:r>
      <w:r w:rsidR="002D5314" w:rsidRPr="00E43935">
        <w:rPr>
          <w:rFonts w:asciiTheme="minorHAnsi" w:hAnsiTheme="minorHAnsi" w:cstheme="minorHAnsi"/>
        </w:rPr>
        <w:t>with the Principal Investigator and/or delegate</w:t>
      </w:r>
      <w:r w:rsidR="00D648D2" w:rsidRPr="00E43935">
        <w:rPr>
          <w:rFonts w:asciiTheme="minorHAnsi" w:hAnsiTheme="minorHAnsi" w:cstheme="minorHAnsi"/>
        </w:rPr>
        <w:t xml:space="preserve"> at each of the above mentioned visits to discuss study progress and issues. </w:t>
      </w:r>
      <w:r w:rsidR="00A87FCF" w:rsidRPr="00E43935">
        <w:rPr>
          <w:rFonts w:asciiTheme="minorHAnsi" w:hAnsiTheme="minorHAnsi" w:cstheme="minorHAnsi"/>
        </w:rPr>
        <w:t>This may become more difficult with remote monitoring visits, but a pragmatic approach will be taken in that issues of concern or urgency or require a medical opinion will be directed to the CI/PI. All other matters according to a risk-based approach will be dealt with the most appropriate member of staff.</w:t>
      </w:r>
      <w:r w:rsidR="006A1C36">
        <w:rPr>
          <w:rFonts w:asciiTheme="minorHAnsi" w:hAnsiTheme="minorHAnsi" w:cstheme="minorHAnsi"/>
        </w:rPr>
        <w:t xml:space="preserve"> The PI will be copied into all monitoring report correspondence.</w:t>
      </w:r>
    </w:p>
    <w:p w14:paraId="71471AED" w14:textId="2A8CB772" w:rsidR="00D648D2" w:rsidRPr="00E43935" w:rsidRDefault="00D648D2" w:rsidP="00A95FB2">
      <w:pPr>
        <w:pStyle w:val="Heading1"/>
      </w:pPr>
      <w:r w:rsidRPr="00E43935">
        <w:t>Monitoring</w:t>
      </w:r>
    </w:p>
    <w:p w14:paraId="4FE0F40D" w14:textId="77777777" w:rsidR="00D648D2" w:rsidRPr="00E43935" w:rsidRDefault="00D648D2" w:rsidP="00E43935">
      <w:pPr>
        <w:spacing w:before="240" w:after="0"/>
        <w:jc w:val="both"/>
        <w:rPr>
          <w:rFonts w:asciiTheme="minorHAnsi" w:hAnsiTheme="minorHAnsi" w:cstheme="minorHAnsi"/>
        </w:rPr>
      </w:pPr>
      <w:r w:rsidRPr="00E43935">
        <w:rPr>
          <w:rFonts w:asciiTheme="minorHAnsi" w:hAnsiTheme="minorHAnsi" w:cstheme="minorHAnsi"/>
        </w:rPr>
        <w:t>The monitor should complete and sign the Trial Monitoring Visit Log at each visit</w:t>
      </w:r>
    </w:p>
    <w:p w14:paraId="03FF7D9A" w14:textId="77777777" w:rsidR="00D648D2" w:rsidRPr="00E43935" w:rsidRDefault="00D648D2" w:rsidP="00A95FB2">
      <w:pPr>
        <w:pStyle w:val="Heading2"/>
        <w:numPr>
          <w:ilvl w:val="0"/>
          <w:numId w:val="0"/>
        </w:numPr>
        <w:ind w:left="720" w:hanging="720"/>
      </w:pPr>
      <w:r w:rsidRPr="00E43935">
        <w:t xml:space="preserve">2.1 </w:t>
      </w:r>
      <w:r w:rsidR="00547725" w:rsidRPr="00E43935">
        <w:tab/>
      </w:r>
      <w:r w:rsidRPr="00E43935">
        <w:t>Recruitment</w:t>
      </w:r>
    </w:p>
    <w:p w14:paraId="75C2CEBD" w14:textId="77777777" w:rsidR="00644EF9" w:rsidRDefault="00D648D2" w:rsidP="00E43935">
      <w:pPr>
        <w:spacing w:before="240" w:after="0"/>
        <w:jc w:val="both"/>
        <w:rPr>
          <w:rFonts w:asciiTheme="minorHAnsi" w:hAnsiTheme="minorHAnsi" w:cstheme="minorHAnsi"/>
          <w:iCs/>
        </w:rPr>
      </w:pPr>
      <w:r w:rsidRPr="00E43935">
        <w:rPr>
          <w:rFonts w:asciiTheme="minorHAnsi" w:hAnsiTheme="minorHAnsi" w:cstheme="minorHAnsi"/>
          <w:iCs/>
        </w:rPr>
        <w:t xml:space="preserve">The </w:t>
      </w:r>
      <w:r w:rsidR="00271157" w:rsidRPr="00E43935">
        <w:rPr>
          <w:rFonts w:asciiTheme="minorHAnsi" w:hAnsiTheme="minorHAnsi" w:cstheme="minorHAnsi"/>
          <w:iCs/>
        </w:rPr>
        <w:t>trial</w:t>
      </w:r>
      <w:r w:rsidRPr="00E43935">
        <w:rPr>
          <w:rFonts w:asciiTheme="minorHAnsi" w:hAnsiTheme="minorHAnsi" w:cstheme="minorHAnsi"/>
          <w:iCs/>
        </w:rPr>
        <w:t xml:space="preserve"> specific recruitment plan and recruitment timeframe </w:t>
      </w:r>
      <w:r w:rsidR="00644EF9">
        <w:rPr>
          <w:rFonts w:asciiTheme="minorHAnsi" w:hAnsiTheme="minorHAnsi" w:cstheme="minorHAnsi"/>
          <w:iCs/>
        </w:rPr>
        <w:t>was</w:t>
      </w:r>
      <w:r w:rsidR="00A87FCF" w:rsidRPr="00E43935">
        <w:rPr>
          <w:rFonts w:asciiTheme="minorHAnsi" w:hAnsiTheme="minorHAnsi" w:cstheme="minorHAnsi"/>
          <w:iCs/>
        </w:rPr>
        <w:t xml:space="preserve"> discussed at </w:t>
      </w:r>
      <w:r w:rsidR="00644EF9">
        <w:rPr>
          <w:rFonts w:asciiTheme="minorHAnsi" w:hAnsiTheme="minorHAnsi" w:cstheme="minorHAnsi"/>
          <w:iCs/>
        </w:rPr>
        <w:t xml:space="preserve">the </w:t>
      </w:r>
      <w:r w:rsidR="00A87FCF" w:rsidRPr="00E43935">
        <w:rPr>
          <w:rFonts w:asciiTheme="minorHAnsi" w:hAnsiTheme="minorHAnsi" w:cstheme="minorHAnsi"/>
          <w:iCs/>
        </w:rPr>
        <w:t xml:space="preserve">site initiation visit. </w:t>
      </w:r>
    </w:p>
    <w:p w14:paraId="3CD6C7E6" w14:textId="6CDE1015" w:rsidR="00A87FCF" w:rsidRPr="00E43935" w:rsidRDefault="00A87FCF" w:rsidP="00E43935">
      <w:pPr>
        <w:spacing w:before="240" w:after="0"/>
        <w:jc w:val="both"/>
        <w:rPr>
          <w:rFonts w:asciiTheme="minorHAnsi" w:hAnsiTheme="minorHAnsi" w:cstheme="minorHAnsi"/>
          <w:iCs/>
        </w:rPr>
      </w:pPr>
      <w:r w:rsidRPr="00E43935">
        <w:rPr>
          <w:rFonts w:asciiTheme="minorHAnsi" w:hAnsiTheme="minorHAnsi" w:cstheme="minorHAnsi"/>
          <w:iCs/>
        </w:rPr>
        <w:t>Recruitment</w:t>
      </w:r>
      <w:r w:rsidRPr="00E43935">
        <w:rPr>
          <w:rFonts w:asciiTheme="minorHAnsi" w:hAnsiTheme="minorHAnsi" w:cstheme="minorHAnsi"/>
        </w:rPr>
        <w:t xml:space="preserve"> period is anticipated to be approximately </w:t>
      </w:r>
      <w:r w:rsidR="00644EF9" w:rsidRPr="00644EF9">
        <w:rPr>
          <w:rFonts w:asciiTheme="minorHAnsi" w:hAnsiTheme="minorHAnsi" w:cstheme="minorHAnsi"/>
          <w:b/>
        </w:rPr>
        <w:t>&lt;insert details&gt;</w:t>
      </w:r>
      <w:r w:rsidRPr="00E43935">
        <w:rPr>
          <w:rFonts w:asciiTheme="minorHAnsi" w:hAnsiTheme="minorHAnsi" w:cstheme="minorHAnsi"/>
        </w:rPr>
        <w:t xml:space="preserve">.  </w:t>
      </w:r>
      <w:r w:rsidRPr="00E43935">
        <w:rPr>
          <w:rFonts w:asciiTheme="minorHAnsi" w:hAnsiTheme="minorHAnsi" w:cstheme="minorHAnsi"/>
          <w:iCs/>
        </w:rPr>
        <w:t xml:space="preserve"> </w:t>
      </w:r>
    </w:p>
    <w:p w14:paraId="4ECA36E9" w14:textId="1515D5AF" w:rsidR="000D2FE0" w:rsidRPr="00E43935" w:rsidRDefault="00644EF9" w:rsidP="00E43935">
      <w:pPr>
        <w:spacing w:before="240" w:after="0"/>
        <w:jc w:val="both"/>
        <w:rPr>
          <w:rFonts w:asciiTheme="minorHAnsi" w:hAnsiTheme="minorHAnsi" w:cstheme="minorHAnsi"/>
          <w:iCs/>
        </w:rPr>
      </w:pPr>
      <w:r w:rsidRPr="00644EF9">
        <w:rPr>
          <w:rFonts w:asciiTheme="minorHAnsi" w:hAnsiTheme="minorHAnsi" w:cstheme="minorHAnsi"/>
          <w:b/>
          <w:iCs/>
        </w:rPr>
        <w:t>&lt;Delete/retain as appropriate&gt;</w:t>
      </w:r>
      <w:r>
        <w:rPr>
          <w:rFonts w:asciiTheme="minorHAnsi" w:hAnsiTheme="minorHAnsi" w:cstheme="minorHAnsi"/>
          <w:iCs/>
        </w:rPr>
        <w:t xml:space="preserve"> </w:t>
      </w:r>
      <w:r w:rsidR="000D2FE0" w:rsidRPr="00E43935">
        <w:rPr>
          <w:rFonts w:asciiTheme="minorHAnsi" w:hAnsiTheme="minorHAnsi" w:cstheme="minorHAnsi"/>
          <w:iCs/>
        </w:rPr>
        <w:t xml:space="preserve">The investigator </w:t>
      </w:r>
      <w:r w:rsidR="000D2FE0" w:rsidRPr="00644EF9">
        <w:rPr>
          <w:rFonts w:asciiTheme="minorHAnsi" w:hAnsiTheme="minorHAnsi" w:cstheme="minorHAnsi"/>
          <w:b/>
          <w:iCs/>
        </w:rPr>
        <w:t>may</w:t>
      </w:r>
      <w:r w:rsidRPr="00644EF9">
        <w:rPr>
          <w:rFonts w:asciiTheme="minorHAnsi" w:hAnsiTheme="minorHAnsi" w:cstheme="minorHAnsi"/>
          <w:b/>
          <w:iCs/>
        </w:rPr>
        <w:t>/may not</w:t>
      </w:r>
      <w:r w:rsidR="000D2FE0" w:rsidRPr="00E43935">
        <w:rPr>
          <w:rFonts w:asciiTheme="minorHAnsi" w:hAnsiTheme="minorHAnsi" w:cstheme="minorHAnsi"/>
          <w:iCs/>
        </w:rPr>
        <w:t xml:space="preserve"> re-screen a subject who fails screening, up to </w:t>
      </w:r>
      <w:r w:rsidRPr="00644EF9">
        <w:rPr>
          <w:rFonts w:asciiTheme="minorHAnsi" w:hAnsiTheme="minorHAnsi" w:cstheme="minorHAnsi"/>
          <w:b/>
        </w:rPr>
        <w:t>&lt;insert details&gt;</w:t>
      </w:r>
      <w:r>
        <w:rPr>
          <w:rFonts w:asciiTheme="minorHAnsi" w:hAnsiTheme="minorHAnsi" w:cstheme="minorHAnsi"/>
          <w:b/>
        </w:rPr>
        <w:t xml:space="preserve"> </w:t>
      </w:r>
      <w:r w:rsidR="000D2FE0" w:rsidRPr="00E43935">
        <w:rPr>
          <w:rFonts w:asciiTheme="minorHAnsi" w:hAnsiTheme="minorHAnsi" w:cstheme="minorHAnsi"/>
          <w:iCs/>
        </w:rPr>
        <w:t xml:space="preserve">more times on different days, assuming the following criteria are met: </w:t>
      </w:r>
    </w:p>
    <w:p w14:paraId="3EA971C5" w14:textId="77777777" w:rsidR="000D2FE0" w:rsidRPr="00E43935" w:rsidRDefault="000D2FE0" w:rsidP="00E43935">
      <w:pPr>
        <w:numPr>
          <w:ilvl w:val="0"/>
          <w:numId w:val="8"/>
        </w:numPr>
        <w:spacing w:before="240" w:after="0"/>
        <w:ind w:left="1080"/>
        <w:jc w:val="both"/>
        <w:rPr>
          <w:rFonts w:asciiTheme="minorHAnsi" w:hAnsiTheme="minorHAnsi" w:cstheme="minorHAnsi"/>
          <w:iCs/>
        </w:rPr>
      </w:pPr>
      <w:r w:rsidRPr="00E43935">
        <w:rPr>
          <w:rFonts w:asciiTheme="minorHAnsi" w:hAnsiTheme="minorHAnsi" w:cstheme="minorHAnsi"/>
          <w:iCs/>
        </w:rPr>
        <w:t xml:space="preserve">In the investigator’s judgement, the subject is now likely to meet all eligibility criteria as the original cause for screen failure is no longer applicable </w:t>
      </w:r>
    </w:p>
    <w:p w14:paraId="057E6657" w14:textId="2364ED31" w:rsidR="000D2FE0" w:rsidRPr="00E43935" w:rsidRDefault="000D2FE0" w:rsidP="00E43935">
      <w:pPr>
        <w:numPr>
          <w:ilvl w:val="0"/>
          <w:numId w:val="8"/>
        </w:numPr>
        <w:spacing w:before="240" w:after="0"/>
        <w:ind w:left="1080"/>
        <w:jc w:val="both"/>
        <w:rPr>
          <w:rFonts w:asciiTheme="minorHAnsi" w:hAnsiTheme="minorHAnsi" w:cstheme="minorHAnsi"/>
          <w:iCs/>
        </w:rPr>
      </w:pPr>
      <w:r w:rsidRPr="00E43935">
        <w:rPr>
          <w:rFonts w:asciiTheme="minorHAnsi" w:hAnsiTheme="minorHAnsi" w:cstheme="minorHAnsi"/>
          <w:iCs/>
        </w:rPr>
        <w:t xml:space="preserve">The re-screened subject must be re-consented, be issued a new subject number, and have all screening assessments performed again. </w:t>
      </w:r>
    </w:p>
    <w:p w14:paraId="5D28CDED" w14:textId="77777777" w:rsidR="00D648D2" w:rsidRPr="00E43935" w:rsidRDefault="00D648D2" w:rsidP="00A95FB2">
      <w:pPr>
        <w:pStyle w:val="Heading2"/>
        <w:numPr>
          <w:ilvl w:val="0"/>
          <w:numId w:val="0"/>
        </w:numPr>
        <w:ind w:left="720" w:hanging="720"/>
      </w:pPr>
      <w:r w:rsidRPr="00E43935">
        <w:t xml:space="preserve">2.2 </w:t>
      </w:r>
      <w:r w:rsidR="00547725" w:rsidRPr="00E43935">
        <w:tab/>
      </w:r>
      <w:r w:rsidRPr="00E43935">
        <w:t>Eligibility</w:t>
      </w:r>
    </w:p>
    <w:p w14:paraId="6D3764F4" w14:textId="036B1E6F" w:rsidR="00201D70" w:rsidRPr="00E43935" w:rsidRDefault="007B77FC" w:rsidP="00E43935">
      <w:pPr>
        <w:spacing w:before="240" w:after="0"/>
        <w:jc w:val="both"/>
        <w:rPr>
          <w:rFonts w:asciiTheme="minorHAnsi" w:hAnsiTheme="minorHAnsi" w:cstheme="minorHAnsi"/>
        </w:rPr>
      </w:pPr>
      <w:r w:rsidRPr="00E43935">
        <w:rPr>
          <w:rFonts w:asciiTheme="minorHAnsi" w:hAnsiTheme="minorHAnsi" w:cstheme="minorHAnsi"/>
        </w:rPr>
        <w:t>The</w:t>
      </w:r>
      <w:r w:rsidR="00D648D2" w:rsidRPr="00E43935">
        <w:rPr>
          <w:rFonts w:asciiTheme="minorHAnsi" w:hAnsiTheme="minorHAnsi" w:cstheme="minorHAnsi"/>
        </w:rPr>
        <w:t xml:space="preserve"> inclusion and exclusion cri</w:t>
      </w:r>
      <w:r w:rsidRPr="00E43935">
        <w:rPr>
          <w:rFonts w:asciiTheme="minorHAnsi" w:hAnsiTheme="minorHAnsi" w:cstheme="minorHAnsi"/>
        </w:rPr>
        <w:t>teria should be checked in f</w:t>
      </w:r>
      <w:r w:rsidR="003B2667" w:rsidRPr="00E43935">
        <w:rPr>
          <w:rFonts w:asciiTheme="minorHAnsi" w:hAnsiTheme="minorHAnsi" w:cstheme="minorHAnsi"/>
        </w:rPr>
        <w:t xml:space="preserve">ull as per the latest approved </w:t>
      </w:r>
      <w:r w:rsidRPr="00E43935">
        <w:rPr>
          <w:rFonts w:asciiTheme="minorHAnsi" w:hAnsiTheme="minorHAnsi" w:cstheme="minorHAnsi"/>
        </w:rPr>
        <w:t>protocol.</w:t>
      </w:r>
      <w:r w:rsidR="003B2667" w:rsidRPr="00E43935">
        <w:rPr>
          <w:rFonts w:asciiTheme="minorHAnsi" w:hAnsiTheme="minorHAnsi" w:cstheme="minorHAnsi"/>
        </w:rPr>
        <w:t xml:space="preserve"> </w:t>
      </w:r>
    </w:p>
    <w:p w14:paraId="62521E8E" w14:textId="0187286D" w:rsidR="003B2667" w:rsidRPr="00E43935" w:rsidRDefault="003B2667" w:rsidP="00E43935">
      <w:pPr>
        <w:spacing w:before="240" w:after="0"/>
        <w:jc w:val="both"/>
        <w:rPr>
          <w:rFonts w:asciiTheme="minorHAnsi" w:hAnsiTheme="minorHAnsi" w:cstheme="minorHAnsi"/>
        </w:rPr>
      </w:pPr>
      <w:r w:rsidRPr="00E43935">
        <w:rPr>
          <w:rFonts w:asciiTheme="minorHAnsi" w:hAnsiTheme="minorHAnsi" w:cstheme="minorHAnsi"/>
        </w:rPr>
        <w:t>The monitor will check that each participant meets ALL of the inclusion criteria and NONE of the exclusion criteria against the available information in the participant medical records</w:t>
      </w:r>
      <w:r w:rsidR="00E16626" w:rsidRPr="00E43935">
        <w:rPr>
          <w:rFonts w:asciiTheme="minorHAnsi" w:hAnsiTheme="minorHAnsi" w:cstheme="minorHAnsi"/>
        </w:rPr>
        <w:t xml:space="preserve"> and documentation to support results, and</w:t>
      </w:r>
      <w:r w:rsidRPr="00E43935">
        <w:rPr>
          <w:rFonts w:asciiTheme="minorHAnsi" w:hAnsiTheme="minorHAnsi" w:cstheme="minorHAnsi"/>
        </w:rPr>
        <w:t xml:space="preserve"> annotation of the screening/eligibility documentation. </w:t>
      </w:r>
      <w:r w:rsidR="00E16626" w:rsidRPr="00E43935">
        <w:rPr>
          <w:rFonts w:asciiTheme="minorHAnsi" w:hAnsiTheme="minorHAnsi" w:cstheme="minorHAnsi"/>
        </w:rPr>
        <w:t>The</w:t>
      </w:r>
      <w:r w:rsidRPr="00E43935">
        <w:rPr>
          <w:rFonts w:asciiTheme="minorHAnsi" w:hAnsiTheme="minorHAnsi" w:cstheme="minorHAnsi"/>
        </w:rPr>
        <w:t xml:space="preserve"> monitor will check for confirmation of eligibility statement from the persons delegated to confirm eligibility.</w:t>
      </w:r>
      <w:r w:rsidR="00E16626" w:rsidRPr="00E43935">
        <w:rPr>
          <w:rFonts w:asciiTheme="minorHAnsi" w:hAnsiTheme="minorHAnsi" w:cstheme="minorHAnsi"/>
        </w:rPr>
        <w:t xml:space="preserve"> This decision should be clearly documented in the medical notes and signed by the medically qualified doctor making the decision prior to dosing of the subject.</w:t>
      </w:r>
    </w:p>
    <w:p w14:paraId="7369F2D1" w14:textId="7A0F2E0E" w:rsidR="007B77FC" w:rsidRPr="00E43935" w:rsidRDefault="00E16626" w:rsidP="00E43935">
      <w:pPr>
        <w:spacing w:before="240" w:after="0"/>
        <w:jc w:val="both"/>
        <w:rPr>
          <w:rFonts w:asciiTheme="minorHAnsi" w:hAnsiTheme="minorHAnsi" w:cstheme="minorHAnsi"/>
        </w:rPr>
      </w:pPr>
      <w:r w:rsidRPr="00E43935">
        <w:rPr>
          <w:rFonts w:asciiTheme="minorHAnsi" w:hAnsiTheme="minorHAnsi" w:cstheme="minorHAnsi"/>
        </w:rPr>
        <w:t xml:space="preserve">Any deviation identified by the monitor </w:t>
      </w:r>
      <w:r w:rsidR="007B77FC" w:rsidRPr="00E43935">
        <w:rPr>
          <w:rFonts w:asciiTheme="minorHAnsi" w:hAnsiTheme="minorHAnsi" w:cstheme="minorHAnsi"/>
        </w:rPr>
        <w:t xml:space="preserve">from the inclusion/exclusion criteria </w:t>
      </w:r>
      <w:r w:rsidRPr="00E43935">
        <w:rPr>
          <w:rFonts w:asciiTheme="minorHAnsi" w:hAnsiTheme="minorHAnsi" w:cstheme="minorHAnsi"/>
        </w:rPr>
        <w:t>must</w:t>
      </w:r>
      <w:r w:rsidR="007B77FC" w:rsidRPr="00E43935">
        <w:rPr>
          <w:rFonts w:asciiTheme="minorHAnsi" w:hAnsiTheme="minorHAnsi" w:cstheme="minorHAnsi"/>
        </w:rPr>
        <w:t xml:space="preserve"> be documented as a protocol breach/deviation. </w:t>
      </w:r>
    </w:p>
    <w:p w14:paraId="16480205" w14:textId="77777777" w:rsidR="00D648D2" w:rsidRPr="00E43935" w:rsidRDefault="00D648D2" w:rsidP="00A95FB2">
      <w:pPr>
        <w:pStyle w:val="Heading2"/>
        <w:numPr>
          <w:ilvl w:val="0"/>
          <w:numId w:val="0"/>
        </w:numPr>
        <w:ind w:left="720" w:hanging="720"/>
      </w:pPr>
      <w:r w:rsidRPr="00E43935">
        <w:t>2.3.</w:t>
      </w:r>
      <w:r w:rsidR="00547725" w:rsidRPr="00E43935">
        <w:tab/>
      </w:r>
      <w:r w:rsidRPr="00E43935">
        <w:t>Primary</w:t>
      </w:r>
      <w:r w:rsidR="00274F9B" w:rsidRPr="00E43935">
        <w:t xml:space="preserve">/Secondary </w:t>
      </w:r>
      <w:r w:rsidRPr="00E43935">
        <w:t>endpoints</w:t>
      </w:r>
    </w:p>
    <w:p w14:paraId="2FF0E623" w14:textId="25A87D97" w:rsidR="008D1B37" w:rsidRPr="00E43935" w:rsidRDefault="008D1B37" w:rsidP="00E43935">
      <w:pPr>
        <w:spacing w:before="240" w:after="0"/>
        <w:jc w:val="both"/>
        <w:rPr>
          <w:rFonts w:asciiTheme="minorHAnsi" w:hAnsiTheme="minorHAnsi" w:cstheme="minorHAnsi"/>
          <w:bCs/>
        </w:rPr>
      </w:pPr>
      <w:r w:rsidRPr="00E43935">
        <w:rPr>
          <w:rFonts w:asciiTheme="minorHAnsi" w:hAnsiTheme="minorHAnsi" w:cstheme="minorHAnsi"/>
          <w:bCs/>
        </w:rPr>
        <w:t xml:space="preserve">The monitor will check that the data required to achieve the primary and secondary endpoints have been collected in accordance with the latest approved protocol and that all assessments </w:t>
      </w:r>
      <w:r w:rsidR="000E2A72" w:rsidRPr="00E43935">
        <w:rPr>
          <w:rFonts w:asciiTheme="minorHAnsi" w:hAnsiTheme="minorHAnsi" w:cstheme="minorHAnsi"/>
          <w:bCs/>
        </w:rPr>
        <w:t>have been conducted correctly. Collected d</w:t>
      </w:r>
      <w:r w:rsidRPr="00E43935">
        <w:rPr>
          <w:rFonts w:asciiTheme="minorHAnsi" w:hAnsiTheme="minorHAnsi" w:cstheme="minorHAnsi"/>
          <w:bCs/>
        </w:rPr>
        <w:t xml:space="preserve">ata should be recorded on source worksheet/CRF as per protocol and expectations for source data. </w:t>
      </w:r>
    </w:p>
    <w:p w14:paraId="4D046ACE" w14:textId="783A063C" w:rsidR="002A4DEE" w:rsidRPr="00E43935" w:rsidRDefault="000E2A72" w:rsidP="00E43935">
      <w:pPr>
        <w:spacing w:before="240" w:after="0"/>
        <w:jc w:val="both"/>
        <w:rPr>
          <w:rFonts w:asciiTheme="minorHAnsi" w:hAnsiTheme="minorHAnsi" w:cstheme="minorHAnsi"/>
        </w:rPr>
      </w:pPr>
      <w:r w:rsidRPr="00E43935">
        <w:rPr>
          <w:rFonts w:asciiTheme="minorHAnsi" w:hAnsiTheme="minorHAnsi" w:cstheme="minorHAnsi"/>
        </w:rPr>
        <w:lastRenderedPageBreak/>
        <w:t>To</w:t>
      </w:r>
      <w:r w:rsidR="002A4DEE" w:rsidRPr="00E43935">
        <w:rPr>
          <w:rFonts w:asciiTheme="minorHAnsi" w:hAnsiTheme="minorHAnsi" w:cstheme="minorHAnsi"/>
        </w:rPr>
        <w:t xml:space="preserve"> ensure primary endpoints can be achieved the monitor will establish the following data is collected:</w:t>
      </w:r>
    </w:p>
    <w:p w14:paraId="4D23BAEC" w14:textId="40890FD1" w:rsidR="00644EF9" w:rsidRDefault="00644EF9" w:rsidP="00E43935">
      <w:pPr>
        <w:spacing w:before="240" w:after="0"/>
        <w:jc w:val="both"/>
        <w:rPr>
          <w:rFonts w:asciiTheme="minorHAnsi" w:hAnsiTheme="minorHAnsi" w:cstheme="minorHAnsi"/>
          <w:b/>
        </w:rPr>
      </w:pPr>
      <w:r w:rsidRPr="00644EF9">
        <w:rPr>
          <w:rFonts w:asciiTheme="minorHAnsi" w:hAnsiTheme="minorHAnsi" w:cstheme="minorHAnsi"/>
          <w:b/>
        </w:rPr>
        <w:t>&lt;</w:t>
      </w:r>
      <w:proofErr w:type="gramStart"/>
      <w:r w:rsidRPr="00644EF9">
        <w:rPr>
          <w:rFonts w:asciiTheme="minorHAnsi" w:hAnsiTheme="minorHAnsi" w:cstheme="minorHAnsi"/>
          <w:b/>
        </w:rPr>
        <w:t>insert</w:t>
      </w:r>
      <w:proofErr w:type="gramEnd"/>
      <w:r w:rsidRPr="00644EF9">
        <w:rPr>
          <w:rFonts w:asciiTheme="minorHAnsi" w:hAnsiTheme="minorHAnsi" w:cstheme="minorHAnsi"/>
          <w:b/>
        </w:rPr>
        <w:t xml:space="preserve"> details</w:t>
      </w:r>
      <w:r>
        <w:rPr>
          <w:rFonts w:asciiTheme="minorHAnsi" w:hAnsiTheme="minorHAnsi" w:cstheme="minorHAnsi"/>
          <w:b/>
        </w:rPr>
        <w:t xml:space="preserve"> including the endpoint and the timeframe of the endpoint, for example, X at 24 weeks</w:t>
      </w:r>
      <w:r w:rsidRPr="00644EF9">
        <w:rPr>
          <w:rFonts w:asciiTheme="minorHAnsi" w:hAnsiTheme="minorHAnsi" w:cstheme="minorHAnsi"/>
          <w:b/>
        </w:rPr>
        <w:t>&gt;</w:t>
      </w:r>
    </w:p>
    <w:p w14:paraId="170D1D7A" w14:textId="5E3076E6" w:rsidR="00644EF9" w:rsidRDefault="00644EF9" w:rsidP="00E43935">
      <w:pPr>
        <w:spacing w:before="240" w:after="0"/>
        <w:jc w:val="both"/>
        <w:rPr>
          <w:rFonts w:asciiTheme="minorHAnsi" w:hAnsiTheme="minorHAnsi" w:cstheme="minorHAnsi"/>
        </w:rPr>
      </w:pPr>
      <w:r w:rsidRPr="00E43935">
        <w:rPr>
          <w:rFonts w:asciiTheme="minorHAnsi" w:hAnsiTheme="minorHAnsi" w:cstheme="minorHAnsi"/>
        </w:rPr>
        <w:t xml:space="preserve">To ensure </w:t>
      </w:r>
      <w:r>
        <w:rPr>
          <w:rFonts w:asciiTheme="minorHAnsi" w:hAnsiTheme="minorHAnsi" w:cstheme="minorHAnsi"/>
        </w:rPr>
        <w:t>secondary</w:t>
      </w:r>
      <w:r w:rsidRPr="00E43935">
        <w:rPr>
          <w:rFonts w:asciiTheme="minorHAnsi" w:hAnsiTheme="minorHAnsi" w:cstheme="minorHAnsi"/>
        </w:rPr>
        <w:t xml:space="preserve"> endpoints can be achieved the monitor will establish the following data is collected:</w:t>
      </w:r>
    </w:p>
    <w:p w14:paraId="14F37AB4" w14:textId="77777777" w:rsidR="00644EF9" w:rsidRDefault="00644EF9" w:rsidP="00644EF9">
      <w:pPr>
        <w:spacing w:before="240" w:after="0"/>
        <w:jc w:val="both"/>
        <w:rPr>
          <w:rFonts w:asciiTheme="minorHAnsi" w:hAnsiTheme="minorHAnsi" w:cstheme="minorHAnsi"/>
          <w:b/>
        </w:rPr>
      </w:pPr>
      <w:r w:rsidRPr="00644EF9">
        <w:rPr>
          <w:rFonts w:asciiTheme="minorHAnsi" w:hAnsiTheme="minorHAnsi" w:cstheme="minorHAnsi"/>
          <w:b/>
        </w:rPr>
        <w:t>&lt;</w:t>
      </w:r>
      <w:proofErr w:type="gramStart"/>
      <w:r w:rsidRPr="00644EF9">
        <w:rPr>
          <w:rFonts w:asciiTheme="minorHAnsi" w:hAnsiTheme="minorHAnsi" w:cstheme="minorHAnsi"/>
          <w:b/>
        </w:rPr>
        <w:t>insert</w:t>
      </w:r>
      <w:proofErr w:type="gramEnd"/>
      <w:r w:rsidRPr="00644EF9">
        <w:rPr>
          <w:rFonts w:asciiTheme="minorHAnsi" w:hAnsiTheme="minorHAnsi" w:cstheme="minorHAnsi"/>
          <w:b/>
        </w:rPr>
        <w:t xml:space="preserve"> details</w:t>
      </w:r>
      <w:r>
        <w:rPr>
          <w:rFonts w:asciiTheme="minorHAnsi" w:hAnsiTheme="minorHAnsi" w:cstheme="minorHAnsi"/>
          <w:b/>
        </w:rPr>
        <w:t xml:space="preserve"> including the endpoint and the timeframe of the endpoint, for example, X at 24 weeks</w:t>
      </w:r>
      <w:r w:rsidRPr="00644EF9">
        <w:rPr>
          <w:rFonts w:asciiTheme="minorHAnsi" w:hAnsiTheme="minorHAnsi" w:cstheme="minorHAnsi"/>
          <w:b/>
        </w:rPr>
        <w:t>&gt;</w:t>
      </w:r>
    </w:p>
    <w:p w14:paraId="044E4F64" w14:textId="08C891F3" w:rsidR="00644EF9" w:rsidRPr="00644EF9" w:rsidRDefault="00644EF9" w:rsidP="00E43935">
      <w:pPr>
        <w:spacing w:before="240" w:after="0"/>
        <w:jc w:val="both"/>
        <w:rPr>
          <w:rFonts w:asciiTheme="minorHAnsi" w:hAnsiTheme="minorHAnsi" w:cstheme="minorHAnsi"/>
          <w:b/>
        </w:rPr>
      </w:pPr>
      <w:r w:rsidRPr="00644EF9">
        <w:rPr>
          <w:rFonts w:asciiTheme="minorHAnsi" w:hAnsiTheme="minorHAnsi" w:cstheme="minorHAnsi"/>
          <w:b/>
        </w:rPr>
        <w:t>OR</w:t>
      </w:r>
    </w:p>
    <w:p w14:paraId="087CC344" w14:textId="164976CE" w:rsidR="00201D70" w:rsidRPr="00E43935" w:rsidRDefault="00644EF9" w:rsidP="00E43935">
      <w:pPr>
        <w:spacing w:before="240" w:after="0"/>
        <w:jc w:val="both"/>
        <w:rPr>
          <w:rFonts w:asciiTheme="minorHAnsi" w:hAnsiTheme="minorHAnsi" w:cstheme="minorHAnsi"/>
        </w:rPr>
      </w:pPr>
      <w:r w:rsidRPr="00644EF9">
        <w:rPr>
          <w:rFonts w:asciiTheme="minorHAnsi" w:hAnsiTheme="minorHAnsi" w:cstheme="minorHAnsi"/>
          <w:b/>
          <w:iCs/>
        </w:rPr>
        <w:t>&lt;Delete/retain as appropriate&gt;</w:t>
      </w:r>
      <w:r>
        <w:rPr>
          <w:rFonts w:asciiTheme="minorHAnsi" w:hAnsiTheme="minorHAnsi" w:cstheme="minorHAnsi"/>
          <w:b/>
          <w:iCs/>
        </w:rPr>
        <w:t xml:space="preserve"> </w:t>
      </w:r>
      <w:r w:rsidR="002A4DEE" w:rsidRPr="00E43935">
        <w:rPr>
          <w:rFonts w:asciiTheme="minorHAnsi" w:hAnsiTheme="minorHAnsi" w:cstheme="minorHAnsi"/>
        </w:rPr>
        <w:t>There are no secondary endpoints for this protocol only exploratory endpoints therefore unaffected by missing data.</w:t>
      </w:r>
    </w:p>
    <w:p w14:paraId="6CD7D3EA" w14:textId="656B80BA" w:rsidR="007369A8" w:rsidRPr="00E43935" w:rsidRDefault="006E604B" w:rsidP="00E43935">
      <w:pPr>
        <w:spacing w:before="240" w:after="0"/>
        <w:jc w:val="both"/>
        <w:rPr>
          <w:rFonts w:asciiTheme="minorHAnsi" w:hAnsiTheme="minorHAnsi" w:cstheme="minorHAnsi"/>
          <w:iCs/>
        </w:rPr>
      </w:pPr>
      <w:r w:rsidRPr="00E43935">
        <w:rPr>
          <w:rFonts w:asciiTheme="minorHAnsi" w:hAnsiTheme="minorHAnsi" w:cstheme="minorHAnsi"/>
        </w:rPr>
        <w:t xml:space="preserve">Any missing, spurious or incomplete data will be highlighted within the monitoring report for action.  Where there are significant non-compliance or deficiencies within the data these must be highlighted to an appropriate member of the study team during the visit, documented in the monitoring report and followed up by written communication with the Principal and/or Chief Investigator as appropriate. </w:t>
      </w:r>
      <w:r w:rsidRPr="00E43935">
        <w:rPr>
          <w:rFonts w:asciiTheme="minorHAnsi" w:hAnsiTheme="minorHAnsi" w:cstheme="minorHAnsi"/>
          <w:iCs/>
        </w:rPr>
        <w:t xml:space="preserve">Non-compliance will be escalated as per </w:t>
      </w:r>
      <w:r w:rsidRPr="00644EF9">
        <w:rPr>
          <w:rFonts w:asciiTheme="minorHAnsi" w:hAnsiTheme="minorHAnsi" w:cstheme="minorHAnsi"/>
          <w:iCs/>
        </w:rPr>
        <w:t xml:space="preserve">SOP S-1016 </w:t>
      </w:r>
      <w:r w:rsidR="007369A8" w:rsidRPr="00E43935">
        <w:rPr>
          <w:rFonts w:asciiTheme="minorHAnsi" w:hAnsiTheme="minorHAnsi" w:cstheme="minorHAnsi"/>
          <w:iCs/>
        </w:rPr>
        <w:t xml:space="preserve">and in the case of a serious breach as per </w:t>
      </w:r>
      <w:r w:rsidR="007369A8" w:rsidRPr="00E43935">
        <w:rPr>
          <w:rFonts w:asciiTheme="minorHAnsi" w:hAnsiTheme="minorHAnsi" w:cstheme="minorHAnsi"/>
        </w:rPr>
        <w:t>SOP S1013.</w:t>
      </w:r>
    </w:p>
    <w:p w14:paraId="355BBB1B" w14:textId="778B80A1" w:rsidR="00D648D2" w:rsidRPr="00E43935" w:rsidRDefault="00070A52" w:rsidP="00A95FB2">
      <w:pPr>
        <w:pStyle w:val="Heading1"/>
        <w:numPr>
          <w:ilvl w:val="0"/>
          <w:numId w:val="0"/>
        </w:numPr>
        <w:ind w:left="426" w:hanging="426"/>
        <w:rPr>
          <w:iCs/>
        </w:rPr>
      </w:pPr>
      <w:r w:rsidRPr="00E43935">
        <w:t>3.</w:t>
      </w:r>
      <w:r w:rsidR="00D648D2" w:rsidRPr="00E43935">
        <w:t xml:space="preserve"> </w:t>
      </w:r>
      <w:r w:rsidR="00BE4163">
        <w:tab/>
      </w:r>
      <w:r w:rsidR="00D648D2" w:rsidRPr="00E43935">
        <w:t>Consent</w:t>
      </w:r>
    </w:p>
    <w:p w14:paraId="1B25C584" w14:textId="379DDC00" w:rsidR="00D648D2" w:rsidRPr="00E43935" w:rsidRDefault="00D648D2" w:rsidP="00E43935">
      <w:pPr>
        <w:spacing w:before="240" w:after="0"/>
        <w:jc w:val="both"/>
        <w:rPr>
          <w:rFonts w:asciiTheme="minorHAnsi" w:hAnsiTheme="minorHAnsi" w:cstheme="minorHAnsi"/>
          <w:iCs/>
        </w:rPr>
      </w:pPr>
      <w:r w:rsidRPr="00E43935">
        <w:rPr>
          <w:rFonts w:asciiTheme="minorHAnsi" w:hAnsiTheme="minorHAnsi" w:cstheme="minorHAnsi"/>
          <w:iCs/>
        </w:rPr>
        <w:t xml:space="preserve">Informed consent is fundamental to research and must have been given prior to ANY study related procedures. The process of obtaining informed consent is per </w:t>
      </w:r>
      <w:r w:rsidRPr="00644EF9">
        <w:rPr>
          <w:rFonts w:asciiTheme="minorHAnsi" w:hAnsiTheme="minorHAnsi" w:cstheme="minorHAnsi"/>
          <w:iCs/>
        </w:rPr>
        <w:t xml:space="preserve">SOP </w:t>
      </w:r>
      <w:r w:rsidR="00547725" w:rsidRPr="00644EF9">
        <w:rPr>
          <w:rFonts w:asciiTheme="minorHAnsi" w:hAnsiTheme="minorHAnsi" w:cstheme="minorHAnsi"/>
          <w:iCs/>
        </w:rPr>
        <w:t xml:space="preserve">S-1021 </w:t>
      </w:r>
    </w:p>
    <w:p w14:paraId="1317101A" w14:textId="77777777" w:rsidR="00D648D2" w:rsidRPr="00E43935" w:rsidRDefault="00D648D2" w:rsidP="00E43935">
      <w:pPr>
        <w:spacing w:before="240" w:after="0"/>
        <w:jc w:val="both"/>
        <w:rPr>
          <w:rFonts w:asciiTheme="minorHAnsi" w:hAnsiTheme="minorHAnsi" w:cstheme="minorHAnsi"/>
          <w:iCs/>
        </w:rPr>
      </w:pPr>
      <w:r w:rsidRPr="00E43935">
        <w:rPr>
          <w:rFonts w:asciiTheme="minorHAnsi" w:hAnsiTheme="minorHAnsi" w:cstheme="minorHAnsi"/>
          <w:iCs/>
        </w:rPr>
        <w:t xml:space="preserve">The monitor will ensure that the correct process with regards to the approach, provision of information, timescale for patient review prior to consent is as documented in the Ethics application. </w:t>
      </w:r>
    </w:p>
    <w:p w14:paraId="76D1834B" w14:textId="39501719" w:rsidR="00D648D2" w:rsidRPr="00E43935" w:rsidRDefault="00547725" w:rsidP="00E43935">
      <w:pPr>
        <w:spacing w:before="240" w:after="0"/>
        <w:jc w:val="both"/>
        <w:rPr>
          <w:rFonts w:asciiTheme="minorHAnsi" w:hAnsiTheme="minorHAnsi" w:cstheme="minorHAnsi"/>
          <w:iCs/>
        </w:rPr>
      </w:pPr>
      <w:r w:rsidRPr="00E43935">
        <w:rPr>
          <w:rFonts w:asciiTheme="minorHAnsi" w:hAnsiTheme="minorHAnsi" w:cstheme="minorHAnsi"/>
          <w:iCs/>
        </w:rPr>
        <w:t xml:space="preserve">The monitor will check the Informed Consent Form </w:t>
      </w:r>
      <w:r w:rsidR="00644EF9">
        <w:rPr>
          <w:rFonts w:asciiTheme="minorHAnsi" w:hAnsiTheme="minorHAnsi" w:cstheme="minorHAnsi"/>
          <w:iCs/>
        </w:rPr>
        <w:t xml:space="preserve">(ICF) </w:t>
      </w:r>
      <w:r w:rsidRPr="00E43935">
        <w:rPr>
          <w:rFonts w:asciiTheme="minorHAnsi" w:hAnsiTheme="minorHAnsi" w:cstheme="minorHAnsi"/>
          <w:iCs/>
        </w:rPr>
        <w:t>and Pa</w:t>
      </w:r>
      <w:r w:rsidR="00274F9B" w:rsidRPr="00E43935">
        <w:rPr>
          <w:rFonts w:asciiTheme="minorHAnsi" w:hAnsiTheme="minorHAnsi" w:cstheme="minorHAnsi"/>
          <w:iCs/>
        </w:rPr>
        <w:t xml:space="preserve">rticipant </w:t>
      </w:r>
      <w:r w:rsidRPr="00E43935">
        <w:rPr>
          <w:rFonts w:asciiTheme="minorHAnsi" w:hAnsiTheme="minorHAnsi" w:cstheme="minorHAnsi"/>
          <w:iCs/>
        </w:rPr>
        <w:t>Information S</w:t>
      </w:r>
      <w:r w:rsidR="00D648D2" w:rsidRPr="00E43935">
        <w:rPr>
          <w:rFonts w:asciiTheme="minorHAnsi" w:hAnsiTheme="minorHAnsi" w:cstheme="minorHAnsi"/>
          <w:iCs/>
        </w:rPr>
        <w:t xml:space="preserve">heet </w:t>
      </w:r>
      <w:r w:rsidR="00644EF9">
        <w:rPr>
          <w:rFonts w:asciiTheme="minorHAnsi" w:hAnsiTheme="minorHAnsi" w:cstheme="minorHAnsi"/>
          <w:iCs/>
        </w:rPr>
        <w:t xml:space="preserve">(PIS) </w:t>
      </w:r>
      <w:r w:rsidR="00D648D2" w:rsidRPr="00E43935">
        <w:rPr>
          <w:rFonts w:asciiTheme="minorHAnsi" w:hAnsiTheme="minorHAnsi" w:cstheme="minorHAnsi"/>
          <w:iCs/>
        </w:rPr>
        <w:t>for each subject to ensure that:</w:t>
      </w:r>
    </w:p>
    <w:p w14:paraId="5EA6C9E2" w14:textId="77777777" w:rsidR="00D648D2" w:rsidRPr="00E43935" w:rsidRDefault="00D648D2" w:rsidP="00E43935">
      <w:pPr>
        <w:spacing w:before="240" w:after="0"/>
        <w:jc w:val="both"/>
        <w:rPr>
          <w:rFonts w:asciiTheme="minorHAnsi" w:hAnsiTheme="minorHAnsi" w:cstheme="minorHAnsi"/>
          <w:iCs/>
        </w:rPr>
      </w:pPr>
      <w:r w:rsidRPr="00E43935">
        <w:rPr>
          <w:rFonts w:asciiTheme="minorHAnsi" w:hAnsiTheme="minorHAnsi" w:cstheme="minorHAnsi"/>
          <w:iCs/>
        </w:rPr>
        <w:t>1) The current, approved version has been used</w:t>
      </w:r>
    </w:p>
    <w:p w14:paraId="3F9BC3D6" w14:textId="0D3C6AF6" w:rsidR="00D648D2" w:rsidRPr="00E43935" w:rsidRDefault="00D648D2" w:rsidP="00E43935">
      <w:pPr>
        <w:spacing w:before="240" w:after="0"/>
        <w:jc w:val="both"/>
        <w:rPr>
          <w:rFonts w:asciiTheme="minorHAnsi" w:hAnsiTheme="minorHAnsi" w:cstheme="minorHAnsi"/>
          <w:iCs/>
        </w:rPr>
      </w:pPr>
      <w:r w:rsidRPr="00E43935">
        <w:rPr>
          <w:rFonts w:asciiTheme="minorHAnsi" w:hAnsiTheme="minorHAnsi" w:cstheme="minorHAnsi"/>
          <w:iCs/>
        </w:rPr>
        <w:t xml:space="preserve">2) The original signed copy of the </w:t>
      </w:r>
      <w:r w:rsidR="00644EF9">
        <w:rPr>
          <w:rFonts w:asciiTheme="minorHAnsi" w:hAnsiTheme="minorHAnsi" w:cstheme="minorHAnsi"/>
          <w:iCs/>
        </w:rPr>
        <w:t>ICF</w:t>
      </w:r>
      <w:r w:rsidRPr="00E43935">
        <w:rPr>
          <w:rFonts w:asciiTheme="minorHAnsi" w:hAnsiTheme="minorHAnsi" w:cstheme="minorHAnsi"/>
          <w:iCs/>
        </w:rPr>
        <w:t xml:space="preserve"> and </w:t>
      </w:r>
      <w:r w:rsidR="00644EF9">
        <w:rPr>
          <w:rFonts w:asciiTheme="minorHAnsi" w:hAnsiTheme="minorHAnsi" w:cstheme="minorHAnsi"/>
          <w:iCs/>
        </w:rPr>
        <w:t>PIS</w:t>
      </w:r>
      <w:r w:rsidRPr="00E43935">
        <w:rPr>
          <w:rFonts w:asciiTheme="minorHAnsi" w:hAnsiTheme="minorHAnsi" w:cstheme="minorHAnsi"/>
          <w:iCs/>
        </w:rPr>
        <w:t xml:space="preserve"> is placed in the </w:t>
      </w:r>
      <w:r w:rsidR="00644EF9">
        <w:rPr>
          <w:rFonts w:asciiTheme="minorHAnsi" w:hAnsiTheme="minorHAnsi" w:cstheme="minorHAnsi"/>
          <w:iCs/>
        </w:rPr>
        <w:t>Site File</w:t>
      </w:r>
      <w:r w:rsidRPr="00E43935">
        <w:rPr>
          <w:rFonts w:asciiTheme="minorHAnsi" w:hAnsiTheme="minorHAnsi" w:cstheme="minorHAnsi"/>
          <w:iCs/>
        </w:rPr>
        <w:t xml:space="preserve">. These must be correctly completed by both the </w:t>
      </w:r>
      <w:r w:rsidR="00644EF9">
        <w:rPr>
          <w:rFonts w:asciiTheme="minorHAnsi" w:hAnsiTheme="minorHAnsi" w:cstheme="minorHAnsi"/>
          <w:iCs/>
        </w:rPr>
        <w:t>participant</w:t>
      </w:r>
      <w:r w:rsidRPr="00E43935">
        <w:rPr>
          <w:rFonts w:asciiTheme="minorHAnsi" w:hAnsiTheme="minorHAnsi" w:cstheme="minorHAnsi"/>
          <w:iCs/>
        </w:rPr>
        <w:t xml:space="preserve"> and </w:t>
      </w:r>
      <w:r w:rsidR="00644EF9" w:rsidRPr="00E43935">
        <w:rPr>
          <w:rFonts w:asciiTheme="minorHAnsi" w:hAnsiTheme="minorHAnsi" w:cstheme="minorHAnsi"/>
          <w:iCs/>
        </w:rPr>
        <w:t>person obtaining the informed consent</w:t>
      </w:r>
      <w:r w:rsidR="0005114F" w:rsidRPr="00E43935">
        <w:rPr>
          <w:rFonts w:asciiTheme="minorHAnsi" w:hAnsiTheme="minorHAnsi" w:cstheme="minorHAnsi"/>
          <w:iCs/>
        </w:rPr>
        <w:t>.</w:t>
      </w:r>
    </w:p>
    <w:p w14:paraId="55B4AF53" w14:textId="039177AF" w:rsidR="00D648D2" w:rsidRPr="00E43935" w:rsidRDefault="00D648D2" w:rsidP="00E43935">
      <w:pPr>
        <w:spacing w:before="240" w:after="0"/>
        <w:jc w:val="both"/>
        <w:rPr>
          <w:rFonts w:asciiTheme="minorHAnsi" w:hAnsiTheme="minorHAnsi" w:cstheme="minorHAnsi"/>
          <w:iCs/>
        </w:rPr>
      </w:pPr>
      <w:r w:rsidRPr="00E43935">
        <w:rPr>
          <w:rFonts w:asciiTheme="minorHAnsi" w:hAnsiTheme="minorHAnsi" w:cstheme="minorHAnsi"/>
          <w:iCs/>
        </w:rPr>
        <w:t xml:space="preserve">The monitor will check that the process of informed consent has been documented in the </w:t>
      </w:r>
      <w:r w:rsidR="00644EF9">
        <w:rPr>
          <w:rFonts w:asciiTheme="minorHAnsi" w:hAnsiTheme="minorHAnsi" w:cstheme="minorHAnsi"/>
          <w:iCs/>
        </w:rPr>
        <w:t>participant</w:t>
      </w:r>
      <w:r w:rsidRPr="00E43935">
        <w:rPr>
          <w:rFonts w:asciiTheme="minorHAnsi" w:hAnsiTheme="minorHAnsi" w:cstheme="minorHAnsi"/>
          <w:iCs/>
        </w:rPr>
        <w:t>’s medical notes and that this has been dated and signed by the person obtaining the informed consent.</w:t>
      </w:r>
    </w:p>
    <w:p w14:paraId="0FB6E10A" w14:textId="77777777" w:rsidR="00D648D2" w:rsidRPr="00E43935" w:rsidRDefault="00D648D2" w:rsidP="00E43935">
      <w:pPr>
        <w:spacing w:before="240" w:after="0"/>
        <w:jc w:val="both"/>
        <w:rPr>
          <w:rFonts w:asciiTheme="minorHAnsi" w:hAnsiTheme="minorHAnsi" w:cstheme="minorHAnsi"/>
          <w:iCs/>
        </w:rPr>
      </w:pPr>
      <w:r w:rsidRPr="00E43935">
        <w:rPr>
          <w:rFonts w:asciiTheme="minorHAnsi" w:hAnsiTheme="minorHAnsi" w:cstheme="minorHAnsi"/>
          <w:iCs/>
        </w:rPr>
        <w:t>The monitor will check that the person conducting the informed consent procedure is documented as authorised to do so, by review of the Delegation of Authority and Signature log.</w:t>
      </w:r>
    </w:p>
    <w:p w14:paraId="75E406F5" w14:textId="76FB53F9" w:rsidR="00D648D2" w:rsidRPr="00E43935" w:rsidRDefault="00E263D6" w:rsidP="00E43935">
      <w:pPr>
        <w:spacing w:before="240" w:after="0"/>
        <w:jc w:val="both"/>
        <w:rPr>
          <w:rFonts w:asciiTheme="minorHAnsi" w:hAnsiTheme="minorHAnsi" w:cstheme="minorHAnsi"/>
          <w:iCs/>
        </w:rPr>
      </w:pPr>
      <w:r w:rsidRPr="00E43935">
        <w:rPr>
          <w:rFonts w:asciiTheme="minorHAnsi" w:hAnsiTheme="minorHAnsi" w:cstheme="minorHAnsi"/>
          <w:iCs/>
        </w:rPr>
        <w:t>The monitor will d</w:t>
      </w:r>
      <w:r w:rsidR="00D648D2" w:rsidRPr="00E43935">
        <w:rPr>
          <w:rFonts w:asciiTheme="minorHAnsi" w:hAnsiTheme="minorHAnsi" w:cstheme="minorHAnsi"/>
          <w:iCs/>
        </w:rPr>
        <w:t>ocument non-compliance with the correct consent procedure in the Monitoring Visit Report</w:t>
      </w:r>
      <w:r w:rsidR="00392E4F" w:rsidRPr="00E43935">
        <w:rPr>
          <w:rFonts w:asciiTheme="minorHAnsi" w:hAnsiTheme="minorHAnsi" w:cstheme="minorHAnsi"/>
          <w:iCs/>
        </w:rPr>
        <w:t xml:space="preserve">. </w:t>
      </w:r>
      <w:r w:rsidRPr="00E43935">
        <w:rPr>
          <w:rFonts w:asciiTheme="minorHAnsi" w:hAnsiTheme="minorHAnsi" w:cstheme="minorHAnsi"/>
          <w:iCs/>
        </w:rPr>
        <w:t>Non-</w:t>
      </w:r>
      <w:r w:rsidR="00D648D2" w:rsidRPr="00E43935">
        <w:rPr>
          <w:rFonts w:asciiTheme="minorHAnsi" w:hAnsiTheme="minorHAnsi" w:cstheme="minorHAnsi"/>
          <w:iCs/>
        </w:rPr>
        <w:t xml:space="preserve">compliance will </w:t>
      </w:r>
      <w:r w:rsidR="00547725" w:rsidRPr="00E43935">
        <w:rPr>
          <w:rFonts w:asciiTheme="minorHAnsi" w:hAnsiTheme="minorHAnsi" w:cstheme="minorHAnsi"/>
          <w:iCs/>
        </w:rPr>
        <w:t xml:space="preserve">be escalated as per </w:t>
      </w:r>
      <w:r w:rsidR="00547725" w:rsidRPr="00644EF9">
        <w:rPr>
          <w:rFonts w:asciiTheme="minorHAnsi" w:hAnsiTheme="minorHAnsi" w:cstheme="minorHAnsi"/>
          <w:iCs/>
        </w:rPr>
        <w:t>SOP S-1016</w:t>
      </w:r>
      <w:r w:rsidR="00D648D2" w:rsidRPr="00E43935">
        <w:rPr>
          <w:rFonts w:asciiTheme="minorHAnsi" w:hAnsiTheme="minorHAnsi" w:cstheme="minorHAnsi"/>
          <w:iCs/>
        </w:rPr>
        <w:t>.</w:t>
      </w:r>
    </w:p>
    <w:p w14:paraId="47EBEC66" w14:textId="32ACC84E" w:rsidR="00D648D2" w:rsidRPr="00E43935" w:rsidRDefault="00070A52" w:rsidP="00A95FB2">
      <w:pPr>
        <w:pStyle w:val="Heading1"/>
        <w:numPr>
          <w:ilvl w:val="0"/>
          <w:numId w:val="0"/>
        </w:numPr>
        <w:ind w:left="426" w:hanging="426"/>
      </w:pPr>
      <w:r w:rsidRPr="00E43935">
        <w:lastRenderedPageBreak/>
        <w:t>4.</w:t>
      </w:r>
      <w:r w:rsidR="00D648D2" w:rsidRPr="00E43935">
        <w:t xml:space="preserve"> </w:t>
      </w:r>
      <w:r w:rsidR="00BE4163">
        <w:tab/>
      </w:r>
      <w:r w:rsidR="00D648D2" w:rsidRPr="00E43935">
        <w:t>Source Data Verification</w:t>
      </w:r>
      <w:r w:rsidR="00644EF9">
        <w:t xml:space="preserve"> (SDV)</w:t>
      </w:r>
    </w:p>
    <w:p w14:paraId="3C10C3C3" w14:textId="025C8CC1" w:rsidR="00707C69"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Source Data is comprised of records where subject information is first recorded.  It includes, but is not limited to, </w:t>
      </w:r>
      <w:r w:rsidR="00644EF9" w:rsidRPr="00644EF9">
        <w:rPr>
          <w:rFonts w:asciiTheme="minorHAnsi" w:hAnsiTheme="minorHAnsi" w:cstheme="minorHAnsi"/>
          <w:lang w:val="en-US"/>
        </w:rPr>
        <w:t>medical records, lab results, scan results, questionnaires, and where agreed, the CRF or trial worksheets</w:t>
      </w:r>
      <w:r w:rsidRPr="00E43935">
        <w:rPr>
          <w:rFonts w:asciiTheme="minorHAnsi" w:hAnsiTheme="minorHAnsi" w:cstheme="minorHAnsi"/>
        </w:rPr>
        <w:t>. Where there is a Source Data Agreement</w:t>
      </w:r>
      <w:r w:rsidR="00644EF9">
        <w:rPr>
          <w:rFonts w:asciiTheme="minorHAnsi" w:hAnsiTheme="minorHAnsi" w:cstheme="minorHAnsi"/>
        </w:rPr>
        <w:t xml:space="preserve"> (SDA)</w:t>
      </w:r>
      <w:r w:rsidRPr="00E43935">
        <w:rPr>
          <w:rFonts w:asciiTheme="minorHAnsi" w:hAnsiTheme="minorHAnsi" w:cstheme="minorHAnsi"/>
        </w:rPr>
        <w:t xml:space="preserve">, any items defined as being entered directly into the CRF cannot be verified. </w:t>
      </w:r>
      <w:r w:rsidR="00707C69" w:rsidRPr="00E43935">
        <w:rPr>
          <w:rFonts w:asciiTheme="minorHAnsi" w:hAnsiTheme="minorHAnsi" w:cstheme="minorHAnsi"/>
        </w:rPr>
        <w:t xml:space="preserve">The amount of </w:t>
      </w:r>
      <w:r w:rsidR="00644EF9">
        <w:rPr>
          <w:rFonts w:asciiTheme="minorHAnsi" w:hAnsiTheme="minorHAnsi" w:cstheme="minorHAnsi"/>
        </w:rPr>
        <w:t>SDV</w:t>
      </w:r>
      <w:r w:rsidR="00707C69" w:rsidRPr="00E43935">
        <w:rPr>
          <w:rFonts w:asciiTheme="minorHAnsi" w:hAnsiTheme="minorHAnsi" w:cstheme="minorHAnsi"/>
        </w:rPr>
        <w:t xml:space="preserve"> conducted will be compliant with the risk rating allocated at Sponsor review and is subject to increases or decreases based upon </w:t>
      </w:r>
      <w:r w:rsidR="00644EF9">
        <w:rPr>
          <w:rFonts w:asciiTheme="minorHAnsi" w:hAnsiTheme="minorHAnsi" w:cstheme="minorHAnsi"/>
        </w:rPr>
        <w:t xml:space="preserve">monitoring visit </w:t>
      </w:r>
      <w:r w:rsidR="00707C69" w:rsidRPr="00E43935">
        <w:rPr>
          <w:rFonts w:asciiTheme="minorHAnsi" w:hAnsiTheme="minorHAnsi" w:cstheme="minorHAnsi"/>
        </w:rPr>
        <w:t xml:space="preserve">findings and in accordance with the risk-based (adaptive) approach to monitoring. </w:t>
      </w:r>
    </w:p>
    <w:p w14:paraId="62DB488C" w14:textId="36807AE4" w:rsidR="00E43935" w:rsidRDefault="00644EF9" w:rsidP="00E43935">
      <w:pPr>
        <w:pStyle w:val="ListParagraph"/>
        <w:spacing w:before="240" w:after="0"/>
        <w:ind w:left="0"/>
        <w:jc w:val="both"/>
        <w:rPr>
          <w:rFonts w:asciiTheme="minorHAnsi" w:hAnsiTheme="minorHAnsi" w:cstheme="minorHAnsi"/>
          <w:b/>
        </w:rPr>
      </w:pPr>
      <w:r w:rsidRPr="00644EF9">
        <w:rPr>
          <w:rFonts w:asciiTheme="minorHAnsi" w:hAnsiTheme="minorHAnsi" w:cstheme="minorHAnsi"/>
          <w:b/>
        </w:rPr>
        <w:t>&lt;</w:t>
      </w:r>
      <w:r>
        <w:rPr>
          <w:rFonts w:asciiTheme="minorHAnsi" w:hAnsiTheme="minorHAnsi" w:cstheme="minorHAnsi"/>
          <w:b/>
        </w:rPr>
        <w:t>A</w:t>
      </w:r>
      <w:r w:rsidRPr="00644EF9">
        <w:rPr>
          <w:rFonts w:asciiTheme="minorHAnsi" w:hAnsiTheme="minorHAnsi" w:cstheme="minorHAnsi"/>
          <w:b/>
        </w:rPr>
        <w:t xml:space="preserve">mend details </w:t>
      </w:r>
      <w:r>
        <w:rPr>
          <w:rFonts w:asciiTheme="minorHAnsi" w:hAnsiTheme="minorHAnsi" w:cstheme="minorHAnsi"/>
          <w:b/>
        </w:rPr>
        <w:t xml:space="preserve">in the table below </w:t>
      </w:r>
      <w:r w:rsidRPr="00644EF9">
        <w:rPr>
          <w:rFonts w:asciiTheme="minorHAnsi" w:hAnsiTheme="minorHAnsi" w:cstheme="minorHAnsi"/>
          <w:b/>
        </w:rPr>
        <w:t>as necessary</w:t>
      </w:r>
      <w:r>
        <w:rPr>
          <w:rFonts w:asciiTheme="minorHAnsi" w:hAnsiTheme="minorHAnsi" w:cstheme="minorHAnsi"/>
          <w:b/>
        </w:rPr>
        <w:t xml:space="preserve"> and in accordance with the SDA</w:t>
      </w:r>
      <w:r w:rsidR="00AD6435">
        <w:rPr>
          <w:rFonts w:asciiTheme="minorHAnsi" w:hAnsiTheme="minorHAnsi" w:cstheme="minorHAnsi"/>
          <w:b/>
        </w:rPr>
        <w:t>, sources of data included as examples</w:t>
      </w:r>
      <w:r w:rsidRPr="00644EF9">
        <w:rPr>
          <w:rFonts w:asciiTheme="minorHAnsi" w:hAnsiTheme="minorHAnsi" w:cstheme="minorHAnsi"/>
          <w:b/>
        </w:rPr>
        <w:t>&gt;</w:t>
      </w:r>
    </w:p>
    <w:p w14:paraId="79F75DDB" w14:textId="5ED26A10" w:rsidR="00AD6435" w:rsidRPr="00AD6435" w:rsidRDefault="00AD6435" w:rsidP="00E43935">
      <w:pPr>
        <w:pStyle w:val="ListParagraph"/>
        <w:spacing w:before="240" w:after="0"/>
        <w:ind w:left="0"/>
        <w:jc w:val="both"/>
        <w:rPr>
          <w:rFonts w:asciiTheme="minorHAnsi" w:hAnsiTheme="minorHAnsi" w:cstheme="minorHAnsi"/>
          <w:b/>
          <w:i/>
          <w:color w:val="00B0F0"/>
        </w:rPr>
      </w:pPr>
      <w:r w:rsidRPr="00AD6435">
        <w:rPr>
          <w:rFonts w:asciiTheme="minorHAnsi" w:hAnsiTheme="minorHAnsi" w:cstheme="minorHAnsi"/>
          <w:b/>
          <w:i/>
          <w:color w:val="00B0F0"/>
        </w:rPr>
        <w:t>Amount to be monitored should be as per the Monitoring Strategy Table.</w:t>
      </w:r>
    </w:p>
    <w:p w14:paraId="5B5A5FE2" w14:textId="77777777" w:rsidR="00AD6435" w:rsidRPr="00644EF9" w:rsidRDefault="00AD6435" w:rsidP="00AD6435">
      <w:pPr>
        <w:pStyle w:val="ListParagraph"/>
        <w:spacing w:after="0"/>
        <w:ind w:left="0"/>
        <w:jc w:val="both"/>
        <w:rPr>
          <w:rFonts w:asciiTheme="minorHAnsi" w:hAnsiTheme="minorHAnsi" w:cstheme="minorHAnsi"/>
          <w:b/>
        </w:rPr>
      </w:pPr>
    </w:p>
    <w:tbl>
      <w:tblPr>
        <w:tblStyle w:val="TableGrid"/>
        <w:tblW w:w="5000" w:type="pct"/>
        <w:tblLook w:val="04A0" w:firstRow="1" w:lastRow="0" w:firstColumn="1" w:lastColumn="0" w:noHBand="0" w:noVBand="1"/>
        <w:tblDescription w:val="Working table listing the possible source data parametrs, where they can be obtained from and how often they will be reviewed. Table to be edited based on specific study requirements. "/>
      </w:tblPr>
      <w:tblGrid>
        <w:gridCol w:w="2830"/>
        <w:gridCol w:w="4065"/>
        <w:gridCol w:w="2121"/>
      </w:tblGrid>
      <w:tr w:rsidR="00707C69" w:rsidRPr="00AD6435" w14:paraId="1CCECC3C" w14:textId="77777777" w:rsidTr="005A5389">
        <w:trPr>
          <w:tblHeader/>
        </w:trPr>
        <w:tc>
          <w:tcPr>
            <w:tcW w:w="1569" w:type="pct"/>
            <w:vAlign w:val="center"/>
          </w:tcPr>
          <w:p w14:paraId="5C3939DC" w14:textId="77777777" w:rsidR="00707C69" w:rsidRPr="00AD6435" w:rsidRDefault="00707C69" w:rsidP="00AD6435">
            <w:pPr>
              <w:pStyle w:val="ListParagraph"/>
              <w:spacing w:before="240" w:after="0"/>
              <w:ind w:left="0"/>
              <w:jc w:val="center"/>
              <w:rPr>
                <w:rFonts w:asciiTheme="minorHAnsi" w:hAnsiTheme="minorHAnsi" w:cstheme="minorHAnsi"/>
                <w:sz w:val="22"/>
                <w:szCs w:val="22"/>
              </w:rPr>
            </w:pPr>
            <w:r w:rsidRPr="00AD6435">
              <w:rPr>
                <w:rFonts w:asciiTheme="minorHAnsi" w:hAnsiTheme="minorHAnsi" w:cstheme="minorHAnsi"/>
                <w:sz w:val="22"/>
                <w:szCs w:val="22"/>
              </w:rPr>
              <w:t>Data/Parameter</w:t>
            </w:r>
          </w:p>
        </w:tc>
        <w:tc>
          <w:tcPr>
            <w:tcW w:w="2254" w:type="pct"/>
            <w:vAlign w:val="center"/>
          </w:tcPr>
          <w:p w14:paraId="1A6D9AFF" w14:textId="11FD1822" w:rsidR="00707C69" w:rsidRPr="00AD6435" w:rsidRDefault="00707C69" w:rsidP="00AD6435">
            <w:pPr>
              <w:pStyle w:val="ListParagraph"/>
              <w:spacing w:before="240" w:after="0"/>
              <w:ind w:left="0"/>
              <w:jc w:val="center"/>
              <w:rPr>
                <w:rFonts w:asciiTheme="minorHAnsi" w:hAnsiTheme="minorHAnsi" w:cstheme="minorHAnsi"/>
                <w:sz w:val="22"/>
                <w:szCs w:val="22"/>
              </w:rPr>
            </w:pPr>
            <w:r w:rsidRPr="00AD6435">
              <w:rPr>
                <w:rFonts w:asciiTheme="minorHAnsi" w:hAnsiTheme="minorHAnsi" w:cstheme="minorHAnsi"/>
                <w:sz w:val="22"/>
                <w:szCs w:val="22"/>
              </w:rPr>
              <w:t>Source of Data</w:t>
            </w:r>
          </w:p>
        </w:tc>
        <w:tc>
          <w:tcPr>
            <w:tcW w:w="1176" w:type="pct"/>
            <w:vAlign w:val="center"/>
          </w:tcPr>
          <w:p w14:paraId="79DFD597" w14:textId="366E813A" w:rsidR="00707C69" w:rsidRPr="00AD6435" w:rsidRDefault="00707C69" w:rsidP="00AD6435">
            <w:pPr>
              <w:pStyle w:val="ListParagraph"/>
              <w:spacing w:before="240" w:after="0"/>
              <w:ind w:left="0"/>
              <w:jc w:val="center"/>
              <w:rPr>
                <w:rFonts w:asciiTheme="minorHAnsi" w:hAnsiTheme="minorHAnsi" w:cstheme="minorHAnsi"/>
                <w:sz w:val="22"/>
                <w:szCs w:val="22"/>
              </w:rPr>
            </w:pPr>
            <w:r w:rsidRPr="00AD6435">
              <w:rPr>
                <w:rFonts w:asciiTheme="minorHAnsi" w:hAnsiTheme="minorHAnsi" w:cstheme="minorHAnsi"/>
                <w:sz w:val="22"/>
                <w:szCs w:val="22"/>
              </w:rPr>
              <w:t>Amount to be monitored</w:t>
            </w:r>
          </w:p>
        </w:tc>
      </w:tr>
      <w:tr w:rsidR="00707C69" w:rsidRPr="00AD6435" w14:paraId="67CCAD74" w14:textId="77777777" w:rsidTr="00AD6435">
        <w:tc>
          <w:tcPr>
            <w:tcW w:w="1569" w:type="pct"/>
            <w:vAlign w:val="center"/>
          </w:tcPr>
          <w:p w14:paraId="447DCE66" w14:textId="77777777"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lang w:val="en-GB"/>
              </w:rPr>
              <w:t>Subject ID numbers and initials</w:t>
            </w:r>
          </w:p>
        </w:tc>
        <w:tc>
          <w:tcPr>
            <w:tcW w:w="2254" w:type="pct"/>
            <w:vAlign w:val="center"/>
          </w:tcPr>
          <w:p w14:paraId="2963E62A" w14:textId="3A910B09" w:rsidR="00AD6435"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 xml:space="preserve">Signed Informed Consent Forms, Medical Records, and Screening and Enrolment Logs, </w:t>
            </w:r>
            <w:proofErr w:type="spellStart"/>
            <w:r w:rsidRPr="00AD6435">
              <w:rPr>
                <w:rFonts w:asciiTheme="minorHAnsi" w:hAnsiTheme="minorHAnsi" w:cstheme="minorHAnsi"/>
                <w:sz w:val="22"/>
                <w:szCs w:val="22"/>
              </w:rPr>
              <w:t>eCRF</w:t>
            </w:r>
            <w:proofErr w:type="spellEnd"/>
            <w:r w:rsidR="00AD6435" w:rsidRPr="00AD6435">
              <w:rPr>
                <w:rFonts w:asciiTheme="minorHAnsi" w:hAnsiTheme="minorHAnsi" w:cstheme="minorHAnsi"/>
                <w:sz w:val="22"/>
                <w:szCs w:val="22"/>
              </w:rPr>
              <w:t>/CRF</w:t>
            </w:r>
          </w:p>
        </w:tc>
        <w:tc>
          <w:tcPr>
            <w:tcW w:w="1176" w:type="pct"/>
            <w:vAlign w:val="center"/>
          </w:tcPr>
          <w:p w14:paraId="78819B31" w14:textId="6F4CDBF0" w:rsidR="00707C69" w:rsidRPr="00AD6435" w:rsidRDefault="00707C69" w:rsidP="00AD6435">
            <w:pPr>
              <w:pStyle w:val="ListParagraph"/>
              <w:spacing w:after="0"/>
              <w:ind w:left="0"/>
              <w:rPr>
                <w:rFonts w:asciiTheme="minorHAnsi" w:hAnsiTheme="minorHAnsi" w:cstheme="minorHAnsi"/>
                <w:sz w:val="22"/>
                <w:szCs w:val="22"/>
              </w:rPr>
            </w:pPr>
          </w:p>
        </w:tc>
      </w:tr>
      <w:tr w:rsidR="00707C69" w:rsidRPr="00AD6435" w14:paraId="10365DE5" w14:textId="77777777" w:rsidTr="00AD6435">
        <w:tc>
          <w:tcPr>
            <w:tcW w:w="1569" w:type="pct"/>
            <w:vAlign w:val="center"/>
          </w:tcPr>
          <w:p w14:paraId="32273247" w14:textId="77777777"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Date of written informed consent</w:t>
            </w:r>
          </w:p>
        </w:tc>
        <w:tc>
          <w:tcPr>
            <w:tcW w:w="2254" w:type="pct"/>
            <w:vAlign w:val="center"/>
          </w:tcPr>
          <w:p w14:paraId="24C0A04A" w14:textId="492FF100"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 xml:space="preserve">Signed Informed Consent Forms, Medical Records, and Screening and Enrolment Logs, </w:t>
            </w:r>
            <w:proofErr w:type="spellStart"/>
            <w:r w:rsidRPr="00AD6435">
              <w:rPr>
                <w:rFonts w:asciiTheme="minorHAnsi" w:hAnsiTheme="minorHAnsi" w:cstheme="minorHAnsi"/>
                <w:sz w:val="22"/>
                <w:szCs w:val="22"/>
              </w:rPr>
              <w:t>eCRF</w:t>
            </w:r>
            <w:proofErr w:type="spellEnd"/>
            <w:r w:rsidR="00AD6435" w:rsidRPr="00AD6435">
              <w:rPr>
                <w:rFonts w:asciiTheme="minorHAnsi" w:hAnsiTheme="minorHAnsi" w:cstheme="minorHAnsi"/>
                <w:sz w:val="22"/>
                <w:szCs w:val="22"/>
              </w:rPr>
              <w:t>/CRF</w:t>
            </w:r>
          </w:p>
        </w:tc>
        <w:tc>
          <w:tcPr>
            <w:tcW w:w="1176" w:type="pct"/>
            <w:vAlign w:val="center"/>
          </w:tcPr>
          <w:p w14:paraId="0CD21033" w14:textId="729E6F89" w:rsidR="00707C69" w:rsidRPr="00AD6435" w:rsidRDefault="00707C69" w:rsidP="00AD6435">
            <w:pPr>
              <w:pStyle w:val="ListParagraph"/>
              <w:spacing w:after="0"/>
              <w:ind w:left="0"/>
              <w:rPr>
                <w:rFonts w:asciiTheme="minorHAnsi" w:hAnsiTheme="minorHAnsi" w:cstheme="minorHAnsi"/>
                <w:sz w:val="22"/>
                <w:szCs w:val="22"/>
              </w:rPr>
            </w:pPr>
          </w:p>
        </w:tc>
      </w:tr>
      <w:tr w:rsidR="00707C69" w:rsidRPr="00AD6435" w14:paraId="37A897DC" w14:textId="77777777" w:rsidTr="00AD6435">
        <w:tc>
          <w:tcPr>
            <w:tcW w:w="1569" w:type="pct"/>
            <w:vAlign w:val="center"/>
          </w:tcPr>
          <w:p w14:paraId="10BCE5F2" w14:textId="77777777"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 xml:space="preserve">Eligibility </w:t>
            </w:r>
          </w:p>
        </w:tc>
        <w:tc>
          <w:tcPr>
            <w:tcW w:w="2254" w:type="pct"/>
            <w:vAlign w:val="center"/>
          </w:tcPr>
          <w:p w14:paraId="39CE40E4" w14:textId="6271FBC3"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 xml:space="preserve">Medical Records, </w:t>
            </w:r>
            <w:proofErr w:type="spellStart"/>
            <w:r w:rsidR="00AD6435" w:rsidRPr="00AD6435">
              <w:rPr>
                <w:rFonts w:asciiTheme="minorHAnsi" w:hAnsiTheme="minorHAnsi" w:cstheme="minorHAnsi"/>
                <w:sz w:val="22"/>
                <w:szCs w:val="22"/>
              </w:rPr>
              <w:t>eCRF</w:t>
            </w:r>
            <w:proofErr w:type="spellEnd"/>
            <w:r w:rsidR="00AD6435" w:rsidRPr="00AD6435">
              <w:rPr>
                <w:rFonts w:asciiTheme="minorHAnsi" w:hAnsiTheme="minorHAnsi" w:cstheme="minorHAnsi"/>
                <w:sz w:val="22"/>
                <w:szCs w:val="22"/>
              </w:rPr>
              <w:t>/CRF</w:t>
            </w:r>
            <w:r w:rsidRPr="00AD6435">
              <w:rPr>
                <w:rFonts w:asciiTheme="minorHAnsi" w:hAnsiTheme="minorHAnsi" w:cstheme="minorHAnsi"/>
                <w:sz w:val="22"/>
                <w:szCs w:val="22"/>
              </w:rPr>
              <w:t>, laboratory results, GP letters</w:t>
            </w:r>
          </w:p>
        </w:tc>
        <w:tc>
          <w:tcPr>
            <w:tcW w:w="1176" w:type="pct"/>
            <w:vAlign w:val="center"/>
          </w:tcPr>
          <w:p w14:paraId="389C4BB6" w14:textId="4329C398" w:rsidR="00707C69" w:rsidRPr="00AD6435" w:rsidRDefault="00707C69" w:rsidP="00AD6435">
            <w:pPr>
              <w:pStyle w:val="ListParagraph"/>
              <w:spacing w:after="0"/>
              <w:ind w:left="0"/>
              <w:rPr>
                <w:rFonts w:asciiTheme="minorHAnsi" w:hAnsiTheme="minorHAnsi" w:cstheme="minorHAnsi"/>
                <w:sz w:val="22"/>
                <w:szCs w:val="22"/>
              </w:rPr>
            </w:pPr>
          </w:p>
        </w:tc>
      </w:tr>
      <w:tr w:rsidR="00707C69" w:rsidRPr="00AD6435" w14:paraId="00341336" w14:textId="77777777" w:rsidTr="00AD6435">
        <w:tc>
          <w:tcPr>
            <w:tcW w:w="1569" w:type="pct"/>
            <w:vAlign w:val="center"/>
          </w:tcPr>
          <w:p w14:paraId="59D69E00" w14:textId="2A8584CE"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lang w:val="en-GB"/>
              </w:rPr>
              <w:t>Subject past medical history, demographic data, con. meds, anthropometrics</w:t>
            </w:r>
            <w:r w:rsidR="00BE4163" w:rsidRPr="00AD6435">
              <w:rPr>
                <w:rFonts w:asciiTheme="minorHAnsi" w:hAnsiTheme="minorHAnsi" w:cstheme="minorHAnsi"/>
                <w:sz w:val="22"/>
                <w:szCs w:val="22"/>
                <w:lang w:val="en-GB"/>
              </w:rPr>
              <w:t>, vital signs, pregnancy testing</w:t>
            </w:r>
          </w:p>
        </w:tc>
        <w:tc>
          <w:tcPr>
            <w:tcW w:w="2254" w:type="pct"/>
            <w:vAlign w:val="center"/>
          </w:tcPr>
          <w:p w14:paraId="19783FFE" w14:textId="131E222A" w:rsidR="00707C69" w:rsidRPr="00AD6435" w:rsidRDefault="00BE4163"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 xml:space="preserve">Medical Records and </w:t>
            </w:r>
            <w:proofErr w:type="spellStart"/>
            <w:r w:rsidR="00AD6435" w:rsidRPr="00AD6435">
              <w:rPr>
                <w:rFonts w:asciiTheme="minorHAnsi" w:hAnsiTheme="minorHAnsi" w:cstheme="minorHAnsi"/>
                <w:sz w:val="22"/>
                <w:szCs w:val="22"/>
              </w:rPr>
              <w:t>eCRF</w:t>
            </w:r>
            <w:proofErr w:type="spellEnd"/>
            <w:r w:rsidR="00AD6435" w:rsidRPr="00AD6435">
              <w:rPr>
                <w:rFonts w:asciiTheme="minorHAnsi" w:hAnsiTheme="minorHAnsi" w:cstheme="minorHAnsi"/>
                <w:sz w:val="22"/>
                <w:szCs w:val="22"/>
              </w:rPr>
              <w:t>/CRF</w:t>
            </w:r>
            <w:r w:rsidRPr="00AD6435">
              <w:rPr>
                <w:rFonts w:asciiTheme="minorHAnsi" w:hAnsiTheme="minorHAnsi" w:cstheme="minorHAnsi"/>
                <w:sz w:val="22"/>
                <w:szCs w:val="22"/>
              </w:rPr>
              <w:t xml:space="preserve">/study-specific worksheets, </w:t>
            </w:r>
            <w:r w:rsidR="00AD6435" w:rsidRPr="00AD6435">
              <w:rPr>
                <w:rFonts w:asciiTheme="minorHAnsi" w:hAnsiTheme="minorHAnsi" w:cstheme="minorHAnsi"/>
                <w:sz w:val="22"/>
                <w:szCs w:val="22"/>
              </w:rPr>
              <w:t>EMR system</w:t>
            </w:r>
          </w:p>
        </w:tc>
        <w:tc>
          <w:tcPr>
            <w:tcW w:w="1176" w:type="pct"/>
            <w:vAlign w:val="center"/>
          </w:tcPr>
          <w:p w14:paraId="353BAC85" w14:textId="34417C8E" w:rsidR="00707C69" w:rsidRPr="00AD6435" w:rsidRDefault="00707C69" w:rsidP="00AD6435">
            <w:pPr>
              <w:pStyle w:val="ListParagraph"/>
              <w:spacing w:after="0"/>
              <w:ind w:left="0"/>
              <w:rPr>
                <w:rFonts w:asciiTheme="minorHAnsi" w:hAnsiTheme="minorHAnsi" w:cstheme="minorHAnsi"/>
                <w:sz w:val="22"/>
                <w:szCs w:val="22"/>
              </w:rPr>
            </w:pPr>
          </w:p>
        </w:tc>
      </w:tr>
      <w:tr w:rsidR="00707C69" w:rsidRPr="00AD6435" w14:paraId="08D0893F" w14:textId="77777777" w:rsidTr="00AD6435">
        <w:tc>
          <w:tcPr>
            <w:tcW w:w="1569" w:type="pct"/>
            <w:vAlign w:val="center"/>
          </w:tcPr>
          <w:p w14:paraId="68D19CF6" w14:textId="77777777"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Visit Dates</w:t>
            </w:r>
          </w:p>
        </w:tc>
        <w:tc>
          <w:tcPr>
            <w:tcW w:w="2254" w:type="pct"/>
            <w:vAlign w:val="center"/>
          </w:tcPr>
          <w:p w14:paraId="4C7F78DD" w14:textId="77777777"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Medical Records and CRFs/</w:t>
            </w:r>
            <w:proofErr w:type="spellStart"/>
            <w:r w:rsidRPr="00AD6435">
              <w:rPr>
                <w:rFonts w:asciiTheme="minorHAnsi" w:hAnsiTheme="minorHAnsi" w:cstheme="minorHAnsi"/>
                <w:sz w:val="22"/>
                <w:szCs w:val="22"/>
              </w:rPr>
              <w:t>eCRF</w:t>
            </w:r>
            <w:proofErr w:type="spellEnd"/>
          </w:p>
        </w:tc>
        <w:tc>
          <w:tcPr>
            <w:tcW w:w="1176" w:type="pct"/>
            <w:vAlign w:val="center"/>
          </w:tcPr>
          <w:p w14:paraId="514C82F0" w14:textId="6AEC4ED3" w:rsidR="00707C69" w:rsidRPr="00AD6435" w:rsidRDefault="00707C69" w:rsidP="00AD6435">
            <w:pPr>
              <w:pStyle w:val="ListParagraph"/>
              <w:spacing w:after="0"/>
              <w:ind w:left="0"/>
              <w:rPr>
                <w:rFonts w:asciiTheme="minorHAnsi" w:hAnsiTheme="minorHAnsi" w:cstheme="minorHAnsi"/>
                <w:sz w:val="22"/>
                <w:szCs w:val="22"/>
              </w:rPr>
            </w:pPr>
          </w:p>
        </w:tc>
      </w:tr>
      <w:tr w:rsidR="00BE4163" w:rsidRPr="00AD6435" w14:paraId="488D1418" w14:textId="77777777" w:rsidTr="00AD6435">
        <w:tc>
          <w:tcPr>
            <w:tcW w:w="1569" w:type="pct"/>
            <w:vAlign w:val="center"/>
          </w:tcPr>
          <w:p w14:paraId="59B66EDA" w14:textId="0D4BE14A" w:rsidR="00BE4163" w:rsidRPr="00AD6435" w:rsidRDefault="00AD6435"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 xml:space="preserve">Questionnaires </w:t>
            </w:r>
            <w:r w:rsidRPr="00AD6435">
              <w:rPr>
                <w:rFonts w:asciiTheme="minorHAnsi" w:hAnsiTheme="minorHAnsi" w:cstheme="minorHAnsi"/>
                <w:b/>
                <w:sz w:val="22"/>
                <w:szCs w:val="22"/>
              </w:rPr>
              <w:t>&lt;list if required&gt;</w:t>
            </w:r>
          </w:p>
        </w:tc>
        <w:tc>
          <w:tcPr>
            <w:tcW w:w="2254" w:type="pct"/>
            <w:vAlign w:val="center"/>
          </w:tcPr>
          <w:p w14:paraId="46C77830" w14:textId="58AD81D2" w:rsidR="00BE4163" w:rsidRPr="00AD6435" w:rsidRDefault="00AD6435"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Completed questionnaires with participant records/CRFs</w:t>
            </w:r>
          </w:p>
        </w:tc>
        <w:tc>
          <w:tcPr>
            <w:tcW w:w="1176" w:type="pct"/>
            <w:vAlign w:val="center"/>
          </w:tcPr>
          <w:p w14:paraId="6D5A9EDA" w14:textId="432C3DE5" w:rsidR="00BE4163" w:rsidRPr="00AD6435" w:rsidRDefault="00BE4163" w:rsidP="00AD6435">
            <w:pPr>
              <w:pStyle w:val="ListParagraph"/>
              <w:spacing w:after="0"/>
              <w:ind w:left="0"/>
              <w:rPr>
                <w:rFonts w:asciiTheme="minorHAnsi" w:hAnsiTheme="minorHAnsi" w:cstheme="minorHAnsi"/>
                <w:sz w:val="22"/>
                <w:szCs w:val="22"/>
              </w:rPr>
            </w:pPr>
          </w:p>
        </w:tc>
      </w:tr>
      <w:tr w:rsidR="00BE4163" w:rsidRPr="00AD6435" w14:paraId="0294FF8C" w14:textId="77777777" w:rsidTr="00AD6435">
        <w:tc>
          <w:tcPr>
            <w:tcW w:w="1569" w:type="pct"/>
            <w:vAlign w:val="center"/>
          </w:tcPr>
          <w:p w14:paraId="4F920C9E" w14:textId="0FD98088" w:rsidR="00BE4163" w:rsidRPr="00AD6435" w:rsidRDefault="00BE4163"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 xml:space="preserve">Clinical Laboratory Assessments </w:t>
            </w:r>
            <w:r w:rsidR="00AD6435" w:rsidRPr="00AD6435">
              <w:rPr>
                <w:rFonts w:asciiTheme="minorHAnsi" w:hAnsiTheme="minorHAnsi" w:cstheme="minorHAnsi"/>
                <w:b/>
                <w:sz w:val="22"/>
                <w:szCs w:val="22"/>
              </w:rPr>
              <w:t>&lt;list if required&gt;</w:t>
            </w:r>
          </w:p>
        </w:tc>
        <w:tc>
          <w:tcPr>
            <w:tcW w:w="2254" w:type="pct"/>
            <w:vAlign w:val="center"/>
          </w:tcPr>
          <w:p w14:paraId="30FAF5E5" w14:textId="793D151C" w:rsidR="00BE4163" w:rsidRPr="00AD6435" w:rsidRDefault="00BE4163"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Lab report print outs (assessed and signed by the PI/delegated medic)</w:t>
            </w:r>
          </w:p>
        </w:tc>
        <w:tc>
          <w:tcPr>
            <w:tcW w:w="1176" w:type="pct"/>
            <w:vAlign w:val="center"/>
          </w:tcPr>
          <w:p w14:paraId="26B82CA2" w14:textId="0255D99D" w:rsidR="00BE4163" w:rsidRPr="00AD6435" w:rsidRDefault="00BE4163" w:rsidP="00AD6435">
            <w:pPr>
              <w:pStyle w:val="ListParagraph"/>
              <w:spacing w:after="0"/>
              <w:ind w:left="0"/>
              <w:rPr>
                <w:rFonts w:asciiTheme="minorHAnsi" w:hAnsiTheme="minorHAnsi" w:cstheme="minorHAnsi"/>
                <w:sz w:val="22"/>
                <w:szCs w:val="22"/>
              </w:rPr>
            </w:pPr>
          </w:p>
        </w:tc>
      </w:tr>
      <w:tr w:rsidR="00BE4163" w:rsidRPr="00AD6435" w14:paraId="0ED72539" w14:textId="77777777" w:rsidTr="00AD6435">
        <w:tc>
          <w:tcPr>
            <w:tcW w:w="1569" w:type="pct"/>
            <w:vAlign w:val="center"/>
          </w:tcPr>
          <w:p w14:paraId="65557889" w14:textId="0C3B8621" w:rsidR="00BE4163" w:rsidRPr="00AD6435" w:rsidRDefault="00AD6435"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Key efficacy variables</w:t>
            </w:r>
          </w:p>
        </w:tc>
        <w:tc>
          <w:tcPr>
            <w:tcW w:w="2254" w:type="pct"/>
            <w:vAlign w:val="center"/>
          </w:tcPr>
          <w:p w14:paraId="1AFDFD22" w14:textId="6ED67B18" w:rsidR="00BE4163" w:rsidRPr="00AD6435" w:rsidRDefault="00BE4163" w:rsidP="00AD6435">
            <w:pPr>
              <w:pStyle w:val="ListParagraph"/>
              <w:spacing w:after="0"/>
              <w:ind w:left="0"/>
              <w:rPr>
                <w:rFonts w:asciiTheme="minorHAnsi" w:hAnsiTheme="minorHAnsi" w:cstheme="minorHAnsi"/>
                <w:sz w:val="22"/>
                <w:szCs w:val="22"/>
              </w:rPr>
            </w:pPr>
          </w:p>
        </w:tc>
        <w:tc>
          <w:tcPr>
            <w:tcW w:w="1176" w:type="pct"/>
            <w:vAlign w:val="center"/>
          </w:tcPr>
          <w:p w14:paraId="1CE4C145" w14:textId="7F58DDAC" w:rsidR="00BE4163" w:rsidRPr="00AD6435" w:rsidRDefault="00BE4163" w:rsidP="00AD6435">
            <w:pPr>
              <w:pStyle w:val="ListParagraph"/>
              <w:spacing w:after="0"/>
              <w:ind w:left="0"/>
              <w:rPr>
                <w:rFonts w:asciiTheme="minorHAnsi" w:hAnsiTheme="minorHAnsi" w:cstheme="minorHAnsi"/>
                <w:sz w:val="22"/>
                <w:szCs w:val="22"/>
              </w:rPr>
            </w:pPr>
          </w:p>
        </w:tc>
      </w:tr>
      <w:tr w:rsidR="00707C69" w:rsidRPr="00AD6435" w14:paraId="418BD4EF" w14:textId="77777777" w:rsidTr="00AD6435">
        <w:tc>
          <w:tcPr>
            <w:tcW w:w="1569" w:type="pct"/>
            <w:vAlign w:val="center"/>
          </w:tcPr>
          <w:p w14:paraId="432DE89D" w14:textId="0A5270AA"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Primary endpoints</w:t>
            </w:r>
            <w:r w:rsidR="00AD6435" w:rsidRPr="00AD6435">
              <w:rPr>
                <w:rFonts w:asciiTheme="minorHAnsi" w:hAnsiTheme="minorHAnsi" w:cstheme="minorHAnsi"/>
                <w:sz w:val="22"/>
                <w:szCs w:val="22"/>
              </w:rPr>
              <w:t xml:space="preserve"> (and time</w:t>
            </w:r>
            <w:r w:rsidR="00AD6435">
              <w:rPr>
                <w:rFonts w:asciiTheme="minorHAnsi" w:hAnsiTheme="minorHAnsi" w:cstheme="minorHAnsi"/>
                <w:sz w:val="22"/>
                <w:szCs w:val="22"/>
              </w:rPr>
              <w:t xml:space="preserve"> </w:t>
            </w:r>
            <w:r w:rsidR="00AD6435" w:rsidRPr="00AD6435">
              <w:rPr>
                <w:rFonts w:asciiTheme="minorHAnsi" w:hAnsiTheme="minorHAnsi" w:cstheme="minorHAnsi"/>
                <w:sz w:val="22"/>
                <w:szCs w:val="22"/>
              </w:rPr>
              <w:t>points for checking)</w:t>
            </w:r>
          </w:p>
        </w:tc>
        <w:tc>
          <w:tcPr>
            <w:tcW w:w="2254" w:type="pct"/>
            <w:vAlign w:val="center"/>
          </w:tcPr>
          <w:p w14:paraId="5341A7C0" w14:textId="120243A7" w:rsidR="00707C69" w:rsidRPr="00AD6435" w:rsidRDefault="00707C69" w:rsidP="00AD6435">
            <w:pPr>
              <w:pStyle w:val="ListParagraph"/>
              <w:spacing w:after="0"/>
              <w:ind w:left="0"/>
              <w:rPr>
                <w:rFonts w:asciiTheme="minorHAnsi" w:hAnsiTheme="minorHAnsi" w:cstheme="minorHAnsi"/>
                <w:sz w:val="22"/>
                <w:szCs w:val="22"/>
              </w:rPr>
            </w:pPr>
          </w:p>
        </w:tc>
        <w:tc>
          <w:tcPr>
            <w:tcW w:w="1176" w:type="pct"/>
            <w:vAlign w:val="center"/>
          </w:tcPr>
          <w:p w14:paraId="18CD4CFD" w14:textId="00C7F4AD" w:rsidR="00707C69" w:rsidRPr="00AD6435" w:rsidRDefault="00707C69" w:rsidP="00AD6435">
            <w:pPr>
              <w:pStyle w:val="ListParagraph"/>
              <w:spacing w:after="0"/>
              <w:ind w:left="0"/>
              <w:rPr>
                <w:rFonts w:asciiTheme="minorHAnsi" w:hAnsiTheme="minorHAnsi" w:cstheme="minorHAnsi"/>
                <w:sz w:val="22"/>
                <w:szCs w:val="22"/>
              </w:rPr>
            </w:pPr>
          </w:p>
        </w:tc>
      </w:tr>
      <w:tr w:rsidR="00AD6435" w:rsidRPr="00AD6435" w14:paraId="532063D9" w14:textId="77777777" w:rsidTr="00AD6435">
        <w:tc>
          <w:tcPr>
            <w:tcW w:w="1569" w:type="pct"/>
            <w:vAlign w:val="center"/>
          </w:tcPr>
          <w:p w14:paraId="762C3A93" w14:textId="6B863E99" w:rsidR="00AD6435" w:rsidRPr="00AD6435" w:rsidRDefault="00AD6435"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Secondary endpoints (and time</w:t>
            </w:r>
            <w:r>
              <w:rPr>
                <w:rFonts w:asciiTheme="minorHAnsi" w:hAnsiTheme="minorHAnsi" w:cstheme="minorHAnsi"/>
                <w:sz w:val="22"/>
                <w:szCs w:val="22"/>
              </w:rPr>
              <w:t xml:space="preserve"> </w:t>
            </w:r>
            <w:r w:rsidRPr="00AD6435">
              <w:rPr>
                <w:rFonts w:asciiTheme="minorHAnsi" w:hAnsiTheme="minorHAnsi" w:cstheme="minorHAnsi"/>
                <w:sz w:val="22"/>
                <w:szCs w:val="22"/>
              </w:rPr>
              <w:t>points for checking)</w:t>
            </w:r>
          </w:p>
        </w:tc>
        <w:tc>
          <w:tcPr>
            <w:tcW w:w="2254" w:type="pct"/>
            <w:vAlign w:val="center"/>
          </w:tcPr>
          <w:p w14:paraId="19D0132A" w14:textId="77777777" w:rsidR="00AD6435" w:rsidRPr="00AD6435" w:rsidRDefault="00AD6435" w:rsidP="00AD6435">
            <w:pPr>
              <w:pStyle w:val="ListParagraph"/>
              <w:spacing w:after="0"/>
              <w:ind w:left="0"/>
              <w:rPr>
                <w:rFonts w:asciiTheme="minorHAnsi" w:hAnsiTheme="minorHAnsi" w:cstheme="minorHAnsi"/>
                <w:sz w:val="22"/>
                <w:szCs w:val="22"/>
              </w:rPr>
            </w:pPr>
          </w:p>
        </w:tc>
        <w:tc>
          <w:tcPr>
            <w:tcW w:w="1176" w:type="pct"/>
            <w:vAlign w:val="center"/>
          </w:tcPr>
          <w:p w14:paraId="5E7BEC2D" w14:textId="77777777" w:rsidR="00AD6435" w:rsidRPr="00AD6435" w:rsidRDefault="00AD6435" w:rsidP="00AD6435">
            <w:pPr>
              <w:pStyle w:val="ListParagraph"/>
              <w:spacing w:after="0"/>
              <w:ind w:left="0"/>
              <w:rPr>
                <w:rFonts w:asciiTheme="minorHAnsi" w:hAnsiTheme="minorHAnsi" w:cstheme="minorHAnsi"/>
                <w:sz w:val="22"/>
                <w:szCs w:val="22"/>
              </w:rPr>
            </w:pPr>
          </w:p>
        </w:tc>
      </w:tr>
      <w:tr w:rsidR="00707C69" w:rsidRPr="00AD6435" w14:paraId="19418256" w14:textId="77777777" w:rsidTr="00AD6435">
        <w:tc>
          <w:tcPr>
            <w:tcW w:w="1569" w:type="pct"/>
            <w:vAlign w:val="center"/>
          </w:tcPr>
          <w:p w14:paraId="2C74AF0A" w14:textId="6F884BF7" w:rsidR="00707C69" w:rsidRPr="00AD6435" w:rsidRDefault="00AD6435"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Compliance with dosing regimen</w:t>
            </w:r>
            <w:r w:rsidR="00BE4163" w:rsidRPr="00AD6435">
              <w:rPr>
                <w:rFonts w:asciiTheme="minorHAnsi" w:hAnsiTheme="minorHAnsi" w:cstheme="minorHAnsi"/>
                <w:sz w:val="22"/>
                <w:szCs w:val="22"/>
              </w:rPr>
              <w:t xml:space="preserve"> </w:t>
            </w:r>
          </w:p>
        </w:tc>
        <w:tc>
          <w:tcPr>
            <w:tcW w:w="2254" w:type="pct"/>
            <w:vAlign w:val="center"/>
          </w:tcPr>
          <w:p w14:paraId="136BE0C9" w14:textId="7D25CBD2"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 xml:space="preserve">Dosing sheet, </w:t>
            </w:r>
            <w:r w:rsidR="00AD6435" w:rsidRPr="00AD6435">
              <w:rPr>
                <w:rFonts w:asciiTheme="minorHAnsi" w:hAnsiTheme="minorHAnsi" w:cstheme="minorHAnsi"/>
                <w:sz w:val="22"/>
                <w:szCs w:val="22"/>
              </w:rPr>
              <w:t xml:space="preserve">IMP/placebo preparation records, </w:t>
            </w:r>
            <w:r w:rsidRPr="00AD6435">
              <w:rPr>
                <w:rFonts w:asciiTheme="minorHAnsi" w:hAnsiTheme="minorHAnsi" w:cstheme="minorHAnsi"/>
                <w:sz w:val="22"/>
                <w:szCs w:val="22"/>
              </w:rPr>
              <w:t>patient notes and medical records</w:t>
            </w:r>
            <w:r w:rsidR="00BE4163" w:rsidRPr="00AD6435">
              <w:rPr>
                <w:rFonts w:asciiTheme="minorHAnsi" w:hAnsiTheme="minorHAnsi" w:cstheme="minorHAnsi"/>
                <w:sz w:val="22"/>
                <w:szCs w:val="22"/>
              </w:rPr>
              <w:t xml:space="preserve">, study-specific worksheets, EMR system </w:t>
            </w:r>
          </w:p>
        </w:tc>
        <w:tc>
          <w:tcPr>
            <w:tcW w:w="1176" w:type="pct"/>
            <w:vAlign w:val="center"/>
          </w:tcPr>
          <w:p w14:paraId="2C9B43CE" w14:textId="7231E4E3" w:rsidR="00707C69" w:rsidRPr="00AD6435" w:rsidRDefault="00707C69" w:rsidP="00AD6435">
            <w:pPr>
              <w:pStyle w:val="ListParagraph"/>
              <w:spacing w:after="0"/>
              <w:ind w:left="0"/>
              <w:rPr>
                <w:rFonts w:asciiTheme="minorHAnsi" w:hAnsiTheme="minorHAnsi" w:cstheme="minorHAnsi"/>
                <w:sz w:val="22"/>
                <w:szCs w:val="22"/>
              </w:rPr>
            </w:pPr>
          </w:p>
        </w:tc>
      </w:tr>
      <w:tr w:rsidR="00707C69" w:rsidRPr="00AD6435" w14:paraId="3AA31804" w14:textId="77777777" w:rsidTr="00AD6435">
        <w:tc>
          <w:tcPr>
            <w:tcW w:w="1569" w:type="pct"/>
            <w:vAlign w:val="center"/>
          </w:tcPr>
          <w:p w14:paraId="0131CEEC" w14:textId="77777777"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lastRenderedPageBreak/>
              <w:t>Serious Adverse Events and Adverse Events</w:t>
            </w:r>
          </w:p>
        </w:tc>
        <w:tc>
          <w:tcPr>
            <w:tcW w:w="2254" w:type="pct"/>
            <w:vAlign w:val="center"/>
          </w:tcPr>
          <w:p w14:paraId="6EDBF79E" w14:textId="763E5649"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Medical Notes, CRFs</w:t>
            </w:r>
            <w:r w:rsidR="00BE4163" w:rsidRPr="00AD6435">
              <w:rPr>
                <w:rFonts w:asciiTheme="minorHAnsi" w:hAnsiTheme="minorHAnsi" w:cstheme="minorHAnsi"/>
                <w:sz w:val="22"/>
                <w:szCs w:val="22"/>
              </w:rPr>
              <w:t>/ study-specific worksheets</w:t>
            </w:r>
            <w:r w:rsidRPr="00AD6435">
              <w:rPr>
                <w:rFonts w:asciiTheme="minorHAnsi" w:hAnsiTheme="minorHAnsi" w:cstheme="minorHAnsi"/>
                <w:sz w:val="22"/>
                <w:szCs w:val="22"/>
              </w:rPr>
              <w:t xml:space="preserve">, Adverse Events Logs </w:t>
            </w:r>
            <w:r w:rsidR="00BE4163" w:rsidRPr="00AD6435">
              <w:rPr>
                <w:rFonts w:asciiTheme="minorHAnsi" w:hAnsiTheme="minorHAnsi" w:cstheme="minorHAnsi"/>
                <w:sz w:val="22"/>
                <w:szCs w:val="22"/>
              </w:rPr>
              <w:t xml:space="preserve">(paper and </w:t>
            </w:r>
            <w:proofErr w:type="spellStart"/>
            <w:r w:rsidR="00BE4163" w:rsidRPr="00AD6435">
              <w:rPr>
                <w:rFonts w:asciiTheme="minorHAnsi" w:hAnsiTheme="minorHAnsi" w:cstheme="minorHAnsi"/>
                <w:sz w:val="22"/>
                <w:szCs w:val="22"/>
              </w:rPr>
              <w:t>eCRF</w:t>
            </w:r>
            <w:proofErr w:type="spellEnd"/>
            <w:r w:rsidR="00BE4163" w:rsidRPr="00AD6435">
              <w:rPr>
                <w:rFonts w:asciiTheme="minorHAnsi" w:hAnsiTheme="minorHAnsi" w:cstheme="minorHAnsi"/>
                <w:sz w:val="22"/>
                <w:szCs w:val="22"/>
              </w:rPr>
              <w:t xml:space="preserve">) </w:t>
            </w:r>
            <w:r w:rsidRPr="00AD6435">
              <w:rPr>
                <w:rFonts w:asciiTheme="minorHAnsi" w:hAnsiTheme="minorHAnsi" w:cstheme="minorHAnsi"/>
                <w:sz w:val="22"/>
                <w:szCs w:val="22"/>
              </w:rPr>
              <w:t>and TMF</w:t>
            </w:r>
            <w:r w:rsidR="00BE4163" w:rsidRPr="00AD6435">
              <w:rPr>
                <w:rFonts w:asciiTheme="minorHAnsi" w:hAnsiTheme="minorHAnsi" w:cstheme="minorHAnsi"/>
                <w:sz w:val="22"/>
                <w:szCs w:val="22"/>
              </w:rPr>
              <w:t xml:space="preserve"> (SAE reports)</w:t>
            </w:r>
          </w:p>
        </w:tc>
        <w:tc>
          <w:tcPr>
            <w:tcW w:w="1176" w:type="pct"/>
            <w:vAlign w:val="center"/>
          </w:tcPr>
          <w:p w14:paraId="07B757F9" w14:textId="7F26DC2F" w:rsidR="00707C69" w:rsidRPr="00AD6435" w:rsidRDefault="00707C69" w:rsidP="00AD6435">
            <w:pPr>
              <w:pStyle w:val="ListParagraph"/>
              <w:spacing w:after="0"/>
              <w:ind w:left="0"/>
              <w:rPr>
                <w:rFonts w:asciiTheme="minorHAnsi" w:hAnsiTheme="minorHAnsi" w:cstheme="minorHAnsi"/>
                <w:sz w:val="22"/>
                <w:szCs w:val="22"/>
              </w:rPr>
            </w:pPr>
          </w:p>
        </w:tc>
      </w:tr>
      <w:tr w:rsidR="00707C69" w:rsidRPr="00AD6435" w14:paraId="7A3BAB0C" w14:textId="77777777" w:rsidTr="00AD6435">
        <w:tc>
          <w:tcPr>
            <w:tcW w:w="1569" w:type="pct"/>
            <w:vAlign w:val="center"/>
          </w:tcPr>
          <w:p w14:paraId="1DDD26A6" w14:textId="77777777"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Drug Accountability and Compliance</w:t>
            </w:r>
          </w:p>
        </w:tc>
        <w:tc>
          <w:tcPr>
            <w:tcW w:w="2254" w:type="pct"/>
            <w:vAlign w:val="center"/>
          </w:tcPr>
          <w:p w14:paraId="482075F0" w14:textId="77777777" w:rsidR="00707C69" w:rsidRPr="00AD6435" w:rsidRDefault="00707C69" w:rsidP="00AD6435">
            <w:pPr>
              <w:pStyle w:val="ListParagraph"/>
              <w:spacing w:after="0"/>
              <w:ind w:left="0"/>
              <w:rPr>
                <w:rFonts w:asciiTheme="minorHAnsi" w:hAnsiTheme="minorHAnsi" w:cstheme="minorHAnsi"/>
                <w:sz w:val="22"/>
                <w:szCs w:val="22"/>
              </w:rPr>
            </w:pPr>
            <w:r w:rsidRPr="00AD6435">
              <w:rPr>
                <w:rFonts w:asciiTheme="minorHAnsi" w:hAnsiTheme="minorHAnsi" w:cstheme="minorHAnsi"/>
                <w:sz w:val="22"/>
                <w:szCs w:val="22"/>
              </w:rPr>
              <w:t>Pharmacy accountability logs, prescriptions (checking maintenance of the randomisation results) and bottles to be checked, CRF/</w:t>
            </w:r>
            <w:proofErr w:type="spellStart"/>
            <w:r w:rsidRPr="00AD6435">
              <w:rPr>
                <w:rFonts w:asciiTheme="minorHAnsi" w:hAnsiTheme="minorHAnsi" w:cstheme="minorHAnsi"/>
                <w:sz w:val="22"/>
                <w:szCs w:val="22"/>
              </w:rPr>
              <w:t>eCRF</w:t>
            </w:r>
            <w:proofErr w:type="spellEnd"/>
            <w:r w:rsidRPr="00AD6435">
              <w:rPr>
                <w:rFonts w:asciiTheme="minorHAnsi" w:hAnsiTheme="minorHAnsi" w:cstheme="minorHAnsi"/>
                <w:sz w:val="22"/>
                <w:szCs w:val="22"/>
              </w:rPr>
              <w:t xml:space="preserve"> will record compliance</w:t>
            </w:r>
          </w:p>
        </w:tc>
        <w:tc>
          <w:tcPr>
            <w:tcW w:w="1176" w:type="pct"/>
            <w:vAlign w:val="center"/>
          </w:tcPr>
          <w:p w14:paraId="2059448B" w14:textId="10DA03DE" w:rsidR="00707C69" w:rsidRPr="00AD6435" w:rsidRDefault="00707C69" w:rsidP="00AD6435">
            <w:pPr>
              <w:pStyle w:val="ListParagraph"/>
              <w:spacing w:after="0"/>
              <w:ind w:left="0"/>
              <w:rPr>
                <w:rFonts w:asciiTheme="minorHAnsi" w:hAnsiTheme="minorHAnsi" w:cstheme="minorHAnsi"/>
                <w:sz w:val="22"/>
                <w:szCs w:val="22"/>
              </w:rPr>
            </w:pPr>
          </w:p>
        </w:tc>
      </w:tr>
      <w:tr w:rsidR="00C619B2" w:rsidRPr="00AD6435" w14:paraId="27FA8255" w14:textId="77777777" w:rsidTr="00AD6435">
        <w:tc>
          <w:tcPr>
            <w:tcW w:w="1569" w:type="pct"/>
            <w:vAlign w:val="center"/>
          </w:tcPr>
          <w:p w14:paraId="038917CD" w14:textId="41C5634F" w:rsidR="00C619B2" w:rsidRPr="00AD6435" w:rsidRDefault="00C619B2" w:rsidP="00AD6435">
            <w:pPr>
              <w:pStyle w:val="ListParagraph"/>
              <w:spacing w:after="0"/>
              <w:ind w:left="0"/>
              <w:rPr>
                <w:rFonts w:asciiTheme="minorHAnsi" w:hAnsiTheme="minorHAnsi" w:cstheme="minorHAnsi"/>
              </w:rPr>
            </w:pPr>
            <w:r w:rsidRPr="00C619B2">
              <w:rPr>
                <w:rFonts w:asciiTheme="minorHAnsi" w:hAnsiTheme="minorHAnsi" w:cstheme="minorHAnsi"/>
                <w:sz w:val="22"/>
              </w:rPr>
              <w:t>Medical Device-related variables</w:t>
            </w:r>
          </w:p>
        </w:tc>
        <w:tc>
          <w:tcPr>
            <w:tcW w:w="2254" w:type="pct"/>
            <w:vAlign w:val="center"/>
          </w:tcPr>
          <w:p w14:paraId="3D62B3FE" w14:textId="77777777" w:rsidR="00C619B2" w:rsidRPr="00AD6435" w:rsidRDefault="00C619B2" w:rsidP="00AD6435">
            <w:pPr>
              <w:pStyle w:val="ListParagraph"/>
              <w:spacing w:after="0"/>
              <w:ind w:left="0"/>
              <w:rPr>
                <w:rFonts w:asciiTheme="minorHAnsi" w:hAnsiTheme="minorHAnsi" w:cstheme="minorHAnsi"/>
              </w:rPr>
            </w:pPr>
          </w:p>
        </w:tc>
        <w:tc>
          <w:tcPr>
            <w:tcW w:w="1176" w:type="pct"/>
            <w:vAlign w:val="center"/>
          </w:tcPr>
          <w:p w14:paraId="0E9FEAAC" w14:textId="77777777" w:rsidR="00C619B2" w:rsidRPr="00AD6435" w:rsidRDefault="00C619B2" w:rsidP="00AD6435">
            <w:pPr>
              <w:pStyle w:val="ListParagraph"/>
              <w:spacing w:after="0"/>
              <w:ind w:left="0"/>
              <w:rPr>
                <w:rFonts w:asciiTheme="minorHAnsi" w:hAnsiTheme="minorHAnsi" w:cstheme="minorHAnsi"/>
              </w:rPr>
            </w:pPr>
          </w:p>
        </w:tc>
      </w:tr>
    </w:tbl>
    <w:p w14:paraId="3C89A8FE" w14:textId="1F59C6CF" w:rsidR="00D648D2" w:rsidRPr="00E43935"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The monitor will discuss any discrepancies, noted in the source documentation versus study data, with the site staff and request that the data be corrected by an authorised person. If data cannot be altered during the monitoring visit, the monitor must ensure that the changes have been made by the next visit to site.</w:t>
      </w:r>
    </w:p>
    <w:p w14:paraId="0824FE54" w14:textId="539101E0" w:rsidR="00D648D2" w:rsidRPr="00E43935" w:rsidRDefault="00070A52" w:rsidP="00A95FB2">
      <w:pPr>
        <w:pStyle w:val="Heading1"/>
        <w:numPr>
          <w:ilvl w:val="0"/>
          <w:numId w:val="0"/>
        </w:numPr>
        <w:ind w:left="426" w:hanging="426"/>
      </w:pPr>
      <w:r w:rsidRPr="00E43935">
        <w:t>5.</w:t>
      </w:r>
      <w:r w:rsidR="00D648D2" w:rsidRPr="00E43935">
        <w:t xml:space="preserve"> </w:t>
      </w:r>
      <w:r w:rsidR="00BE4163">
        <w:tab/>
      </w:r>
      <w:r w:rsidR="00D648D2" w:rsidRPr="00E43935">
        <w:t>Regulatory Compliance</w:t>
      </w:r>
    </w:p>
    <w:p w14:paraId="0E3D9F21" w14:textId="77777777" w:rsidR="00D648D2" w:rsidRPr="00E43935" w:rsidRDefault="00D648D2" w:rsidP="00E43935">
      <w:pPr>
        <w:spacing w:before="240" w:after="0"/>
        <w:jc w:val="both"/>
        <w:rPr>
          <w:rFonts w:asciiTheme="minorHAnsi" w:hAnsiTheme="minorHAnsi" w:cstheme="minorHAnsi"/>
        </w:rPr>
      </w:pPr>
      <w:r w:rsidRPr="00E43935">
        <w:rPr>
          <w:rFonts w:asciiTheme="minorHAnsi" w:hAnsiTheme="minorHAnsi" w:cstheme="minorHAnsi"/>
        </w:rPr>
        <w:t>At each visit the monitor will ensure that any amendments have been correctly notified to the appropriate statutory and regulatory bodies and that all necessary approvals are in place.</w:t>
      </w:r>
    </w:p>
    <w:p w14:paraId="6D0E7AD2" w14:textId="77777777" w:rsidR="00D648D2" w:rsidRPr="00E43935" w:rsidRDefault="00D648D2" w:rsidP="00E43935">
      <w:pPr>
        <w:spacing w:before="240" w:after="0"/>
        <w:jc w:val="both"/>
        <w:rPr>
          <w:rFonts w:asciiTheme="minorHAnsi" w:hAnsiTheme="minorHAnsi" w:cstheme="minorHAnsi"/>
        </w:rPr>
      </w:pPr>
      <w:r w:rsidRPr="00E43935">
        <w:rPr>
          <w:rFonts w:asciiTheme="minorHAnsi" w:hAnsiTheme="minorHAnsi" w:cstheme="minorHAnsi"/>
        </w:rPr>
        <w:t>The monitor will also ensure that all annual reports have been completed and submitted in a timely manner to the correct regulatory bodies.</w:t>
      </w:r>
    </w:p>
    <w:p w14:paraId="5F8AAF37" w14:textId="3E79F5B5" w:rsidR="00D648D2" w:rsidRPr="00E43935" w:rsidRDefault="00070A52" w:rsidP="00A95FB2">
      <w:pPr>
        <w:pStyle w:val="Heading1"/>
        <w:numPr>
          <w:ilvl w:val="0"/>
          <w:numId w:val="0"/>
        </w:numPr>
        <w:ind w:left="426" w:hanging="426"/>
      </w:pPr>
      <w:r w:rsidRPr="00E43935">
        <w:t>6.</w:t>
      </w:r>
      <w:r w:rsidR="00D648D2" w:rsidRPr="00E43935">
        <w:t xml:space="preserve"> </w:t>
      </w:r>
      <w:r w:rsidR="00BE4163">
        <w:tab/>
      </w:r>
      <w:r w:rsidR="00D648D2" w:rsidRPr="00E43935">
        <w:t xml:space="preserve">Protocol </w:t>
      </w:r>
      <w:r w:rsidR="00AD6435">
        <w:t xml:space="preserve">Breaches and </w:t>
      </w:r>
      <w:r w:rsidR="00D648D2" w:rsidRPr="00E43935">
        <w:t>Deviations</w:t>
      </w:r>
    </w:p>
    <w:p w14:paraId="6670C498" w14:textId="00FF77DB" w:rsidR="00D648D2" w:rsidRPr="00E43935"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Any deviations from planned assessments or procedures, as defined in the study protocol, should be documented. Protocol </w:t>
      </w:r>
      <w:r w:rsidR="00AD6435">
        <w:rPr>
          <w:rFonts w:asciiTheme="minorHAnsi" w:hAnsiTheme="minorHAnsi" w:cstheme="minorHAnsi"/>
        </w:rPr>
        <w:t xml:space="preserve">breaches and </w:t>
      </w:r>
      <w:r w:rsidRPr="00E43935">
        <w:rPr>
          <w:rFonts w:asciiTheme="minorHAnsi" w:hAnsiTheme="minorHAnsi" w:cstheme="minorHAnsi"/>
        </w:rPr>
        <w:t>deviations must be documented in the monitoring visits report, in the CRF</w:t>
      </w:r>
      <w:r w:rsidR="003E3FD5" w:rsidRPr="00E43935">
        <w:rPr>
          <w:rFonts w:asciiTheme="minorHAnsi" w:hAnsiTheme="minorHAnsi" w:cstheme="minorHAnsi"/>
        </w:rPr>
        <w:t>/</w:t>
      </w:r>
      <w:proofErr w:type="spellStart"/>
      <w:r w:rsidR="003E3FD5" w:rsidRPr="00E43935">
        <w:rPr>
          <w:rFonts w:asciiTheme="minorHAnsi" w:hAnsiTheme="minorHAnsi" w:cstheme="minorHAnsi"/>
        </w:rPr>
        <w:t>eCRF</w:t>
      </w:r>
      <w:proofErr w:type="spellEnd"/>
      <w:r w:rsidRPr="00E43935">
        <w:rPr>
          <w:rFonts w:asciiTheme="minorHAnsi" w:hAnsiTheme="minorHAnsi" w:cstheme="minorHAnsi"/>
        </w:rPr>
        <w:t xml:space="preserve"> (if there is a comments field available) and as a file note as appropriate. This documentation must be filed in the Trial Master File/Investigator Site File.</w:t>
      </w:r>
    </w:p>
    <w:p w14:paraId="0F32DF7A" w14:textId="7543A04A" w:rsidR="00D648D2" w:rsidRPr="00E43935" w:rsidRDefault="00AD6435" w:rsidP="00E43935">
      <w:pPr>
        <w:pStyle w:val="ListParagraph"/>
        <w:spacing w:before="240" w:after="0"/>
        <w:ind w:left="0"/>
        <w:jc w:val="both"/>
        <w:rPr>
          <w:rFonts w:asciiTheme="minorHAnsi" w:hAnsiTheme="minorHAnsi" w:cstheme="minorHAnsi"/>
        </w:rPr>
      </w:pPr>
      <w:r>
        <w:rPr>
          <w:rFonts w:asciiTheme="minorHAnsi" w:hAnsiTheme="minorHAnsi" w:cstheme="minorHAnsi"/>
        </w:rPr>
        <w:t xml:space="preserve">Protocol breaches and </w:t>
      </w:r>
      <w:r w:rsidR="00D648D2" w:rsidRPr="00E43935">
        <w:rPr>
          <w:rFonts w:asciiTheme="minorHAnsi" w:hAnsiTheme="minorHAnsi" w:cstheme="minorHAnsi"/>
        </w:rPr>
        <w:t xml:space="preserve">deviations should be logged in a cumulative tracking sheet on an ongoing basis utilising the </w:t>
      </w:r>
      <w:r>
        <w:rPr>
          <w:rFonts w:asciiTheme="minorHAnsi" w:hAnsiTheme="minorHAnsi" w:cstheme="minorHAnsi"/>
        </w:rPr>
        <w:t xml:space="preserve">Sponsor CAPA Template, or the </w:t>
      </w:r>
      <w:r w:rsidR="00D648D2" w:rsidRPr="00E43935">
        <w:rPr>
          <w:rFonts w:asciiTheme="minorHAnsi" w:hAnsiTheme="minorHAnsi" w:cstheme="minorHAnsi"/>
        </w:rPr>
        <w:t>Protocol Deviation Log</w:t>
      </w:r>
      <w:r>
        <w:rPr>
          <w:rFonts w:asciiTheme="minorHAnsi" w:hAnsiTheme="minorHAnsi" w:cstheme="minorHAnsi"/>
        </w:rPr>
        <w:t>, respectively</w:t>
      </w:r>
      <w:r w:rsidR="00D648D2" w:rsidRPr="00E43935">
        <w:rPr>
          <w:rFonts w:asciiTheme="minorHAnsi" w:hAnsiTheme="minorHAnsi" w:cstheme="minorHAnsi"/>
        </w:rPr>
        <w:t xml:space="preserve">. This will aid decision making at the time of data analysis and interpretation, and can help to spot protocol deviation trends. Protocol deviations that recur across different subjects may highlight a particular section of the protocol/a procedure that is causing the site difficulty. </w:t>
      </w:r>
    </w:p>
    <w:p w14:paraId="2DB40025" w14:textId="52DD6D4B" w:rsidR="00D648D2" w:rsidRPr="00E43935"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Protocol </w:t>
      </w:r>
      <w:r w:rsidR="0085752F">
        <w:rPr>
          <w:rFonts w:asciiTheme="minorHAnsi" w:hAnsiTheme="minorHAnsi" w:cstheme="minorHAnsi"/>
        </w:rPr>
        <w:t xml:space="preserve">breaches and </w:t>
      </w:r>
      <w:r w:rsidRPr="00E43935">
        <w:rPr>
          <w:rFonts w:asciiTheme="minorHAnsi" w:hAnsiTheme="minorHAnsi" w:cstheme="minorHAnsi"/>
        </w:rPr>
        <w:t>deviations should be discussed with this site at the earliest opportunity, to ensure that re-occurrences of the same issue are kept to a minimum, and to discuss whether particular issues highlight a need to revise the study protocol by way of a substantial or non-substantial amendment. Serious breaches of pro</w:t>
      </w:r>
      <w:r w:rsidR="00547725" w:rsidRPr="00E43935">
        <w:rPr>
          <w:rFonts w:asciiTheme="minorHAnsi" w:hAnsiTheme="minorHAnsi" w:cstheme="minorHAnsi"/>
        </w:rPr>
        <w:t>tocol will be reported as per Se</w:t>
      </w:r>
      <w:r w:rsidRPr="00E43935">
        <w:rPr>
          <w:rFonts w:asciiTheme="minorHAnsi" w:hAnsiTheme="minorHAnsi" w:cstheme="minorHAnsi"/>
        </w:rPr>
        <w:t xml:space="preserve">rious Breach SOP </w:t>
      </w:r>
      <w:r w:rsidR="00547725" w:rsidRPr="00E43935">
        <w:rPr>
          <w:rFonts w:asciiTheme="minorHAnsi" w:hAnsiTheme="minorHAnsi" w:cstheme="minorHAnsi"/>
        </w:rPr>
        <w:t>S</w:t>
      </w:r>
      <w:r w:rsidR="0085752F">
        <w:rPr>
          <w:rFonts w:asciiTheme="minorHAnsi" w:hAnsiTheme="minorHAnsi" w:cstheme="minorHAnsi"/>
        </w:rPr>
        <w:t>-</w:t>
      </w:r>
      <w:r w:rsidR="00547725" w:rsidRPr="00E43935">
        <w:rPr>
          <w:rFonts w:asciiTheme="minorHAnsi" w:hAnsiTheme="minorHAnsi" w:cstheme="minorHAnsi"/>
        </w:rPr>
        <w:t>1013</w:t>
      </w:r>
      <w:r w:rsidRPr="00E43935">
        <w:rPr>
          <w:rFonts w:asciiTheme="minorHAnsi" w:hAnsiTheme="minorHAnsi" w:cstheme="minorHAnsi"/>
        </w:rPr>
        <w:t>.</w:t>
      </w:r>
    </w:p>
    <w:p w14:paraId="6D766773" w14:textId="4A56418A" w:rsidR="00D648D2" w:rsidRPr="00E43935" w:rsidRDefault="00070A52" w:rsidP="00A95FB2">
      <w:pPr>
        <w:pStyle w:val="Heading1"/>
        <w:numPr>
          <w:ilvl w:val="0"/>
          <w:numId w:val="0"/>
        </w:numPr>
        <w:ind w:left="426" w:hanging="426"/>
      </w:pPr>
      <w:r w:rsidRPr="00E43935">
        <w:t>7.</w:t>
      </w:r>
      <w:r w:rsidR="00D648D2" w:rsidRPr="00E43935">
        <w:t xml:space="preserve"> </w:t>
      </w:r>
      <w:r w:rsidR="00BE4163">
        <w:tab/>
      </w:r>
      <w:r w:rsidR="00D648D2" w:rsidRPr="00E43935">
        <w:t>Safety Monitoring</w:t>
      </w:r>
    </w:p>
    <w:p w14:paraId="726BA913" w14:textId="2937143B" w:rsidR="00D648D2" w:rsidRPr="00E43935" w:rsidRDefault="00D648D2" w:rsidP="00E43935">
      <w:pPr>
        <w:pStyle w:val="ListParagraph"/>
        <w:spacing w:before="240" w:after="0"/>
        <w:ind w:left="0"/>
        <w:jc w:val="both"/>
        <w:rPr>
          <w:rFonts w:asciiTheme="minorHAnsi" w:hAnsiTheme="minorHAnsi" w:cstheme="minorHAnsi"/>
          <w:iCs/>
          <w:lang w:val="en-US"/>
        </w:rPr>
      </w:pPr>
      <w:r w:rsidRPr="00E43935">
        <w:rPr>
          <w:rFonts w:asciiTheme="minorHAnsi" w:hAnsiTheme="minorHAnsi" w:cstheme="minorHAnsi"/>
          <w:iCs/>
          <w:lang w:val="en-US"/>
        </w:rPr>
        <w:lastRenderedPageBreak/>
        <w:t xml:space="preserve">Processing and reporting of Serious Adverse Events, Serious Adverse Reactions and Suspected Unexpected Serious Adverse Reactions will be undertaken as per </w:t>
      </w:r>
      <w:r w:rsidRPr="0085752F">
        <w:rPr>
          <w:rFonts w:asciiTheme="minorHAnsi" w:hAnsiTheme="minorHAnsi" w:cstheme="minorHAnsi"/>
          <w:iCs/>
          <w:lang w:val="en-US"/>
        </w:rPr>
        <w:t xml:space="preserve">SOP </w:t>
      </w:r>
      <w:r w:rsidR="00547725" w:rsidRPr="0085752F">
        <w:rPr>
          <w:rFonts w:asciiTheme="minorHAnsi" w:hAnsiTheme="minorHAnsi" w:cstheme="minorHAnsi"/>
          <w:iCs/>
          <w:lang w:val="en-US"/>
        </w:rPr>
        <w:t>S-1009</w:t>
      </w:r>
      <w:r w:rsidR="00570D9C" w:rsidRPr="00E43935">
        <w:rPr>
          <w:rStyle w:val="Hyperlink"/>
          <w:rFonts w:asciiTheme="minorHAnsi" w:hAnsiTheme="minorHAnsi" w:cstheme="minorHAnsi"/>
          <w:iCs/>
          <w:color w:val="auto"/>
          <w:u w:val="none"/>
          <w:lang w:val="en-US"/>
        </w:rPr>
        <w:t>,</w:t>
      </w:r>
      <w:r w:rsidR="00C619B2">
        <w:rPr>
          <w:rStyle w:val="Hyperlink"/>
          <w:rFonts w:asciiTheme="minorHAnsi" w:hAnsiTheme="minorHAnsi" w:cstheme="minorHAnsi"/>
          <w:iCs/>
          <w:color w:val="auto"/>
          <w:u w:val="none"/>
          <w:lang w:val="en-US"/>
        </w:rPr>
        <w:t xml:space="preserve"> </w:t>
      </w:r>
      <w:r w:rsidR="00C619B2" w:rsidRPr="00C619B2">
        <w:rPr>
          <w:rFonts w:asciiTheme="minorHAnsi" w:hAnsiTheme="minorHAnsi" w:cstheme="minorHAnsi"/>
          <w:iCs/>
          <w:lang w:val="en-US"/>
        </w:rPr>
        <w:t>Serious Device Effects and Unexpected Serious Device Effects and device deficiencies</w:t>
      </w:r>
      <w:r w:rsidR="00C619B2">
        <w:rPr>
          <w:rStyle w:val="Hyperlink"/>
          <w:rFonts w:asciiTheme="minorHAnsi" w:hAnsiTheme="minorHAnsi" w:cstheme="minorHAnsi"/>
          <w:iCs/>
          <w:color w:val="auto"/>
          <w:u w:val="none"/>
          <w:lang w:val="en-US"/>
        </w:rPr>
        <w:t xml:space="preserve"> as per SOP </w:t>
      </w:r>
      <w:r w:rsidR="00122F1A">
        <w:rPr>
          <w:rStyle w:val="Hyperlink"/>
          <w:rFonts w:asciiTheme="minorHAnsi" w:hAnsiTheme="minorHAnsi" w:cstheme="minorHAnsi"/>
          <w:iCs/>
          <w:color w:val="auto"/>
          <w:u w:val="none"/>
          <w:lang w:val="en-US"/>
        </w:rPr>
        <w:t>S-1043,</w:t>
      </w:r>
      <w:r w:rsidR="00570D9C" w:rsidRPr="00E43935">
        <w:rPr>
          <w:rStyle w:val="Hyperlink"/>
          <w:rFonts w:asciiTheme="minorHAnsi" w:hAnsiTheme="minorHAnsi" w:cstheme="minorHAnsi"/>
          <w:iCs/>
          <w:color w:val="auto"/>
          <w:u w:val="none"/>
          <w:lang w:val="en-US"/>
        </w:rPr>
        <w:t xml:space="preserve"> the protocol, and as per the </w:t>
      </w:r>
      <w:r w:rsidR="00B66AAB" w:rsidRPr="00E43935">
        <w:rPr>
          <w:rStyle w:val="Hyperlink"/>
          <w:rFonts w:asciiTheme="minorHAnsi" w:hAnsiTheme="minorHAnsi" w:cstheme="minorHAnsi"/>
          <w:iCs/>
          <w:color w:val="auto"/>
          <w:u w:val="none"/>
          <w:lang w:val="en-US"/>
        </w:rPr>
        <w:t xml:space="preserve">Safety </w:t>
      </w:r>
      <w:r w:rsidR="00570D9C" w:rsidRPr="00E43935">
        <w:rPr>
          <w:rStyle w:val="Hyperlink"/>
          <w:rFonts w:asciiTheme="minorHAnsi" w:hAnsiTheme="minorHAnsi" w:cstheme="minorHAnsi"/>
          <w:iCs/>
          <w:color w:val="auto"/>
          <w:u w:val="none"/>
          <w:lang w:val="en-US"/>
        </w:rPr>
        <w:t>Data Exchange Agreement (if applicable)</w:t>
      </w:r>
      <w:r w:rsidR="00B66AAB" w:rsidRPr="00E43935">
        <w:rPr>
          <w:rStyle w:val="Hyperlink"/>
          <w:rFonts w:asciiTheme="minorHAnsi" w:hAnsiTheme="minorHAnsi" w:cstheme="minorHAnsi"/>
          <w:iCs/>
          <w:color w:val="auto"/>
          <w:u w:val="none"/>
          <w:lang w:val="en-US"/>
        </w:rPr>
        <w:t xml:space="preserve">. </w:t>
      </w:r>
    </w:p>
    <w:p w14:paraId="27423950" w14:textId="4AADEB36" w:rsidR="00D648D2" w:rsidRPr="00E43935"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As part of </w:t>
      </w:r>
      <w:r w:rsidR="0085752F">
        <w:rPr>
          <w:rFonts w:asciiTheme="minorHAnsi" w:hAnsiTheme="minorHAnsi" w:cstheme="minorHAnsi"/>
        </w:rPr>
        <w:t>SDV</w:t>
      </w:r>
      <w:r w:rsidRPr="00E43935">
        <w:rPr>
          <w:rFonts w:asciiTheme="minorHAnsi" w:hAnsiTheme="minorHAnsi" w:cstheme="minorHAnsi"/>
        </w:rPr>
        <w:t>, subject notes and the CRF should be reviewed for evidence of any adverse events</w:t>
      </w:r>
      <w:r w:rsidR="00122F1A">
        <w:rPr>
          <w:rFonts w:asciiTheme="minorHAnsi" w:hAnsiTheme="minorHAnsi" w:cstheme="minorHAnsi"/>
        </w:rPr>
        <w:t>, adverse effects and device deficiencies</w:t>
      </w:r>
      <w:r w:rsidRPr="00E43935">
        <w:rPr>
          <w:rFonts w:asciiTheme="minorHAnsi" w:hAnsiTheme="minorHAnsi" w:cstheme="minorHAnsi"/>
        </w:rPr>
        <w:t xml:space="preserve">. Any </w:t>
      </w:r>
      <w:r w:rsidR="00122F1A">
        <w:rPr>
          <w:rFonts w:asciiTheme="minorHAnsi" w:hAnsiTheme="minorHAnsi" w:cstheme="minorHAnsi"/>
        </w:rPr>
        <w:t>events or deficiencies</w:t>
      </w:r>
      <w:r w:rsidRPr="00E43935">
        <w:rPr>
          <w:rFonts w:asciiTheme="minorHAnsi" w:hAnsiTheme="minorHAnsi" w:cstheme="minorHAnsi"/>
        </w:rPr>
        <w:t xml:space="preserve"> noted in the CRF must be recorded in the source notes and vice versa.</w:t>
      </w:r>
    </w:p>
    <w:p w14:paraId="329D6BD5" w14:textId="26C5EABD" w:rsidR="00D648D2" w:rsidRPr="00E43935"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The research team must notify the </w:t>
      </w:r>
      <w:r w:rsidR="00547725" w:rsidRPr="00E43935">
        <w:rPr>
          <w:rFonts w:asciiTheme="minorHAnsi" w:hAnsiTheme="minorHAnsi" w:cstheme="minorHAnsi"/>
        </w:rPr>
        <w:t>Sponsor</w:t>
      </w:r>
      <w:r w:rsidRPr="00E43935">
        <w:rPr>
          <w:rFonts w:asciiTheme="minorHAnsi" w:hAnsiTheme="minorHAnsi" w:cstheme="minorHAnsi"/>
        </w:rPr>
        <w:t xml:space="preserve"> </w:t>
      </w:r>
      <w:r w:rsidR="00201D70" w:rsidRPr="00E43935">
        <w:rPr>
          <w:rFonts w:asciiTheme="minorHAnsi" w:hAnsiTheme="minorHAnsi" w:cstheme="minorHAnsi"/>
        </w:rPr>
        <w:t xml:space="preserve">immediately and </w:t>
      </w:r>
      <w:r w:rsidRPr="00E43935">
        <w:rPr>
          <w:rFonts w:asciiTheme="minorHAnsi" w:hAnsiTheme="minorHAnsi" w:cstheme="minorHAnsi"/>
        </w:rPr>
        <w:t>within 24 hours of becoming aware of a serious adverse event (SAE)/suspected unexpected serious adverse reaction (SUSAR)</w:t>
      </w:r>
      <w:r w:rsidR="00122F1A">
        <w:rPr>
          <w:rFonts w:asciiTheme="minorHAnsi" w:hAnsiTheme="minorHAnsi" w:cstheme="minorHAnsi"/>
        </w:rPr>
        <w:t xml:space="preserve">/device deficiencies which may have led to </w:t>
      </w:r>
      <w:r w:rsidR="00122F1A" w:rsidRPr="00122F1A">
        <w:rPr>
          <w:rFonts w:asciiTheme="minorHAnsi" w:hAnsiTheme="minorHAnsi" w:cstheme="minorHAnsi"/>
        </w:rPr>
        <w:t>a Serious Adverse Event (SAE)/ Serious Adverse Device Effect (SADE) or Unexpected Serious Adverse Effect (USADE)</w:t>
      </w:r>
      <w:r w:rsidRPr="00E43935">
        <w:rPr>
          <w:rFonts w:asciiTheme="minorHAnsi" w:hAnsiTheme="minorHAnsi" w:cstheme="minorHAnsi"/>
        </w:rPr>
        <w:t>.</w:t>
      </w:r>
    </w:p>
    <w:p w14:paraId="6A70E70A" w14:textId="21B5577B" w:rsidR="00D648D2" w:rsidRPr="00E43935"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The monitor should check that the appropriate form has been completed and signed by the </w:t>
      </w:r>
      <w:r w:rsidR="0085752F">
        <w:rPr>
          <w:rFonts w:asciiTheme="minorHAnsi" w:hAnsiTheme="minorHAnsi" w:cstheme="minorHAnsi"/>
        </w:rPr>
        <w:t>appropriate and delegated individual</w:t>
      </w:r>
      <w:r w:rsidRPr="00E43935">
        <w:rPr>
          <w:rFonts w:asciiTheme="minorHAnsi" w:hAnsiTheme="minorHAnsi" w:cstheme="minorHAnsi"/>
        </w:rPr>
        <w:t xml:space="preserve"> and submitted to the </w:t>
      </w:r>
      <w:r w:rsidR="00547725" w:rsidRPr="00E43935">
        <w:rPr>
          <w:rFonts w:asciiTheme="minorHAnsi" w:hAnsiTheme="minorHAnsi" w:cstheme="minorHAnsi"/>
        </w:rPr>
        <w:t>Sponsor</w:t>
      </w:r>
      <w:r w:rsidRPr="00E43935">
        <w:rPr>
          <w:rFonts w:asciiTheme="minorHAnsi" w:hAnsiTheme="minorHAnsi" w:cstheme="minorHAnsi"/>
        </w:rPr>
        <w:t xml:space="preserve"> and acknowledgement received and filed in the </w:t>
      </w:r>
      <w:r w:rsidR="00547725" w:rsidRPr="00E43935">
        <w:rPr>
          <w:rFonts w:asciiTheme="minorHAnsi" w:hAnsiTheme="minorHAnsi" w:cstheme="minorHAnsi"/>
        </w:rPr>
        <w:t>Site File</w:t>
      </w:r>
      <w:r w:rsidRPr="00E43935">
        <w:rPr>
          <w:rFonts w:asciiTheme="minorHAnsi" w:hAnsiTheme="minorHAnsi" w:cstheme="minorHAnsi"/>
        </w:rPr>
        <w:t>.</w:t>
      </w:r>
    </w:p>
    <w:p w14:paraId="535D22F4" w14:textId="5CF1B4FF" w:rsidR="00D648D2" w:rsidRPr="00E43935" w:rsidRDefault="00070A52" w:rsidP="00A95FB2">
      <w:pPr>
        <w:pStyle w:val="Heading1"/>
        <w:numPr>
          <w:ilvl w:val="0"/>
          <w:numId w:val="0"/>
        </w:numPr>
        <w:ind w:left="426" w:hanging="426"/>
      </w:pPr>
      <w:r w:rsidRPr="00E43935">
        <w:t xml:space="preserve">8. </w:t>
      </w:r>
      <w:r w:rsidR="00BE4163">
        <w:tab/>
      </w:r>
      <w:r w:rsidR="00D648D2" w:rsidRPr="00E43935">
        <w:t>Randomisation/Unblinding Processes</w:t>
      </w:r>
    </w:p>
    <w:p w14:paraId="3712CCF3" w14:textId="5E4BDE0A" w:rsidR="008A5422" w:rsidRDefault="0085752F" w:rsidP="00E43935">
      <w:pPr>
        <w:pStyle w:val="ListParagraph"/>
        <w:spacing w:before="240" w:after="0"/>
        <w:ind w:left="0"/>
        <w:jc w:val="both"/>
        <w:rPr>
          <w:rFonts w:asciiTheme="minorHAnsi" w:hAnsiTheme="minorHAnsi" w:cstheme="minorHAnsi"/>
          <w:b/>
        </w:rPr>
      </w:pPr>
      <w:r w:rsidRPr="0085752F">
        <w:rPr>
          <w:rFonts w:asciiTheme="minorHAnsi" w:hAnsiTheme="minorHAnsi" w:cstheme="minorHAnsi"/>
          <w:b/>
        </w:rPr>
        <w:t>&lt;</w:t>
      </w:r>
      <w:proofErr w:type="gramStart"/>
      <w:r w:rsidRPr="0085752F">
        <w:rPr>
          <w:rFonts w:asciiTheme="minorHAnsi" w:hAnsiTheme="minorHAnsi" w:cstheme="minorHAnsi"/>
          <w:b/>
        </w:rPr>
        <w:t>insert</w:t>
      </w:r>
      <w:proofErr w:type="gramEnd"/>
      <w:r w:rsidRPr="0085752F">
        <w:rPr>
          <w:rFonts w:asciiTheme="minorHAnsi" w:hAnsiTheme="minorHAnsi" w:cstheme="minorHAnsi"/>
          <w:b/>
        </w:rPr>
        <w:t xml:space="preserve"> details regarding the blinding/unblinding arrangements for this trial including the system to be used, the Sponsor reporting timeframe, process for unblinding and documentation requirements&gt;</w:t>
      </w:r>
    </w:p>
    <w:p w14:paraId="32430039" w14:textId="71373F57" w:rsidR="0085752F" w:rsidRPr="0085752F" w:rsidRDefault="0085752F" w:rsidP="0085752F">
      <w:pPr>
        <w:spacing w:before="240" w:after="0"/>
        <w:rPr>
          <w:rFonts w:asciiTheme="minorHAnsi" w:hAnsiTheme="minorHAnsi" w:cstheme="minorHAnsi"/>
          <w:b/>
          <w:i/>
          <w:color w:val="00B0F0"/>
        </w:rPr>
      </w:pPr>
      <w:r w:rsidRPr="0085752F">
        <w:rPr>
          <w:rFonts w:asciiTheme="minorHAnsi" w:hAnsiTheme="minorHAnsi" w:cstheme="minorHAnsi"/>
          <w:b/>
          <w:i/>
          <w:color w:val="00B0F0"/>
        </w:rPr>
        <w:t xml:space="preserve">The monitor will ensure that there is adequate documentation of the randomisation and unblinding processes (where applicable) recorded within the </w:t>
      </w:r>
      <w:r>
        <w:rPr>
          <w:rFonts w:asciiTheme="minorHAnsi" w:hAnsiTheme="minorHAnsi" w:cstheme="minorHAnsi"/>
          <w:b/>
          <w:i/>
          <w:color w:val="00B0F0"/>
        </w:rPr>
        <w:t>Site File</w:t>
      </w:r>
      <w:r w:rsidRPr="0085752F">
        <w:rPr>
          <w:rFonts w:asciiTheme="minorHAnsi" w:hAnsiTheme="minorHAnsi" w:cstheme="minorHAnsi"/>
          <w:b/>
          <w:i/>
          <w:color w:val="00B0F0"/>
        </w:rPr>
        <w:t xml:space="preserve">. </w:t>
      </w:r>
    </w:p>
    <w:p w14:paraId="4F6C570F" w14:textId="04D02394" w:rsidR="0085752F" w:rsidRPr="0085752F" w:rsidRDefault="0085752F" w:rsidP="0085752F">
      <w:pPr>
        <w:spacing w:before="240" w:after="0"/>
        <w:rPr>
          <w:rFonts w:asciiTheme="minorHAnsi" w:hAnsiTheme="minorHAnsi" w:cstheme="minorHAnsi"/>
          <w:b/>
          <w:i/>
          <w:color w:val="00B0F0"/>
        </w:rPr>
      </w:pPr>
      <w:r w:rsidRPr="0085752F">
        <w:rPr>
          <w:rFonts w:asciiTheme="minorHAnsi" w:hAnsiTheme="minorHAnsi" w:cstheme="minorHAnsi"/>
          <w:b/>
          <w:i/>
          <w:color w:val="00B0F0"/>
        </w:rPr>
        <w:t xml:space="preserve">The monitor will ensure that </w:t>
      </w:r>
      <w:r>
        <w:rPr>
          <w:rFonts w:asciiTheme="minorHAnsi" w:hAnsiTheme="minorHAnsi" w:cstheme="minorHAnsi"/>
          <w:b/>
          <w:i/>
          <w:color w:val="00B0F0"/>
        </w:rPr>
        <w:t xml:space="preserve">&lt;delete as appropriate: </w:t>
      </w:r>
      <w:r w:rsidRPr="0085752F">
        <w:rPr>
          <w:rFonts w:asciiTheme="minorHAnsi" w:hAnsiTheme="minorHAnsi" w:cstheme="minorHAnsi"/>
          <w:b/>
          <w:i/>
          <w:color w:val="00B0F0"/>
        </w:rPr>
        <w:t>code break envelopes are available at all times</w:t>
      </w:r>
      <w:r>
        <w:rPr>
          <w:rFonts w:asciiTheme="minorHAnsi" w:hAnsiTheme="minorHAnsi" w:cstheme="minorHAnsi"/>
          <w:b/>
          <w:i/>
          <w:color w:val="00B0F0"/>
        </w:rPr>
        <w:t>/staff have access to the randomisation system&gt;</w:t>
      </w:r>
      <w:r w:rsidRPr="0085752F">
        <w:rPr>
          <w:rFonts w:asciiTheme="minorHAnsi" w:hAnsiTheme="minorHAnsi" w:cstheme="minorHAnsi"/>
          <w:b/>
          <w:i/>
          <w:color w:val="00B0F0"/>
        </w:rPr>
        <w:t xml:space="preserve">. If there has been a need to unblind a particular subject, the monitor should ensure that the reason is document in the </w:t>
      </w:r>
      <w:r>
        <w:rPr>
          <w:rFonts w:asciiTheme="minorHAnsi" w:hAnsiTheme="minorHAnsi" w:cstheme="minorHAnsi"/>
          <w:b/>
          <w:i/>
          <w:color w:val="00B0F0"/>
        </w:rPr>
        <w:t>participant’s</w:t>
      </w:r>
      <w:r w:rsidRPr="0085752F">
        <w:rPr>
          <w:rFonts w:asciiTheme="minorHAnsi" w:hAnsiTheme="minorHAnsi" w:cstheme="minorHAnsi"/>
          <w:b/>
          <w:i/>
          <w:color w:val="00B0F0"/>
        </w:rPr>
        <w:t xml:space="preserve"> notes, in the CRF and in the monitoring visit report.</w:t>
      </w:r>
    </w:p>
    <w:p w14:paraId="1F92185A" w14:textId="54EEBC97" w:rsidR="0085752F" w:rsidRPr="0085752F" w:rsidRDefault="0085752F" w:rsidP="0085752F">
      <w:pPr>
        <w:pStyle w:val="ListParagraph"/>
        <w:spacing w:before="240" w:after="0"/>
        <w:ind w:left="0"/>
        <w:jc w:val="both"/>
        <w:rPr>
          <w:rFonts w:asciiTheme="minorHAnsi" w:hAnsiTheme="minorHAnsi" w:cstheme="minorHAnsi"/>
          <w:b/>
          <w:i/>
          <w:color w:val="00B0F0"/>
        </w:rPr>
      </w:pPr>
      <w:r w:rsidRPr="0085752F">
        <w:rPr>
          <w:rFonts w:asciiTheme="minorHAnsi" w:hAnsiTheme="minorHAnsi" w:cstheme="minorHAnsi"/>
          <w:b/>
          <w:i/>
          <w:color w:val="00B0F0"/>
        </w:rPr>
        <w:t xml:space="preserve">The Sponsor must be informed of any unblinding within </w:t>
      </w:r>
      <w:r w:rsidR="006A1C36">
        <w:rPr>
          <w:rFonts w:asciiTheme="minorHAnsi" w:hAnsiTheme="minorHAnsi" w:cstheme="minorHAnsi"/>
          <w:b/>
          <w:i/>
          <w:color w:val="00B0F0"/>
        </w:rPr>
        <w:t>24 hours</w:t>
      </w:r>
      <w:r w:rsidRPr="0085752F">
        <w:rPr>
          <w:rFonts w:asciiTheme="minorHAnsi" w:hAnsiTheme="minorHAnsi" w:cstheme="minorHAnsi"/>
          <w:b/>
          <w:i/>
          <w:color w:val="00B0F0"/>
        </w:rPr>
        <w:t xml:space="preserve"> of </w:t>
      </w:r>
      <w:r w:rsidR="006A1C36">
        <w:rPr>
          <w:rFonts w:asciiTheme="minorHAnsi" w:hAnsiTheme="minorHAnsi" w:cstheme="minorHAnsi"/>
          <w:b/>
          <w:i/>
          <w:color w:val="00B0F0"/>
        </w:rPr>
        <w:t xml:space="preserve">the site </w:t>
      </w:r>
      <w:r w:rsidRPr="0085752F">
        <w:rPr>
          <w:rFonts w:asciiTheme="minorHAnsi" w:hAnsiTheme="minorHAnsi" w:cstheme="minorHAnsi"/>
          <w:b/>
          <w:i/>
          <w:color w:val="00B0F0"/>
        </w:rPr>
        <w:t>becoming aware of the unblinding</w:t>
      </w:r>
      <w:r>
        <w:rPr>
          <w:rFonts w:asciiTheme="minorHAnsi" w:hAnsiTheme="minorHAnsi" w:cstheme="minorHAnsi"/>
          <w:b/>
          <w:i/>
          <w:color w:val="00B0F0"/>
        </w:rPr>
        <w:t>.</w:t>
      </w:r>
    </w:p>
    <w:p w14:paraId="674D45BD" w14:textId="77777777" w:rsidR="002D5314" w:rsidRPr="00E43935" w:rsidRDefault="00070A52" w:rsidP="00A95FB2">
      <w:pPr>
        <w:pStyle w:val="Heading1"/>
        <w:numPr>
          <w:ilvl w:val="0"/>
          <w:numId w:val="0"/>
        </w:numPr>
        <w:ind w:left="426" w:hanging="426"/>
      </w:pPr>
      <w:r w:rsidRPr="00E43935">
        <w:t>9.</w:t>
      </w:r>
      <w:r w:rsidR="00D648D2" w:rsidRPr="00E43935">
        <w:t xml:space="preserve"> </w:t>
      </w:r>
      <w:r w:rsidR="002D5314" w:rsidRPr="00E43935">
        <w:tab/>
        <w:t>Out of Range Laboratory Results</w:t>
      </w:r>
    </w:p>
    <w:p w14:paraId="610032AD" w14:textId="65441293" w:rsidR="00122F1A" w:rsidRPr="00E43935" w:rsidRDefault="00C1223A" w:rsidP="00122F1A">
      <w:pPr>
        <w:pStyle w:val="ListParagraph"/>
        <w:spacing w:before="240" w:after="0"/>
        <w:ind w:left="0"/>
        <w:jc w:val="both"/>
        <w:rPr>
          <w:rFonts w:asciiTheme="minorHAnsi" w:hAnsiTheme="minorHAnsi" w:cstheme="minorHAnsi"/>
          <w:b/>
          <w:bCs/>
        </w:rPr>
      </w:pPr>
      <w:r w:rsidRPr="00E43935">
        <w:rPr>
          <w:rFonts w:asciiTheme="minorHAnsi" w:hAnsiTheme="minorHAnsi" w:cstheme="minorHAnsi"/>
          <w:bCs/>
        </w:rPr>
        <w:t xml:space="preserve">Laboratory results </w:t>
      </w:r>
      <w:r w:rsidR="00570D9C" w:rsidRPr="00E43935">
        <w:rPr>
          <w:rFonts w:asciiTheme="minorHAnsi" w:hAnsiTheme="minorHAnsi" w:cstheme="minorHAnsi"/>
          <w:bCs/>
        </w:rPr>
        <w:t>must</w:t>
      </w:r>
      <w:r w:rsidRPr="00E43935">
        <w:rPr>
          <w:rFonts w:asciiTheme="minorHAnsi" w:hAnsiTheme="minorHAnsi" w:cstheme="minorHAnsi"/>
          <w:bCs/>
        </w:rPr>
        <w:t xml:space="preserve"> be reviewed </w:t>
      </w:r>
      <w:r w:rsidR="00570D9C" w:rsidRPr="00E43935">
        <w:rPr>
          <w:rFonts w:asciiTheme="minorHAnsi" w:hAnsiTheme="minorHAnsi" w:cstheme="minorHAnsi"/>
          <w:bCs/>
        </w:rPr>
        <w:t xml:space="preserve">within 7 days </w:t>
      </w:r>
      <w:r w:rsidRPr="00E43935">
        <w:rPr>
          <w:rFonts w:asciiTheme="minorHAnsi" w:hAnsiTheme="minorHAnsi" w:cstheme="minorHAnsi"/>
          <w:bCs/>
        </w:rPr>
        <w:t xml:space="preserve">by the </w:t>
      </w:r>
      <w:r w:rsidR="0085752F">
        <w:rPr>
          <w:rFonts w:asciiTheme="minorHAnsi" w:hAnsiTheme="minorHAnsi" w:cstheme="minorHAnsi"/>
          <w:bCs/>
        </w:rPr>
        <w:t>appropriate and delegated individual</w:t>
      </w:r>
      <w:r w:rsidR="00570D9C" w:rsidRPr="00E43935">
        <w:rPr>
          <w:rFonts w:asciiTheme="minorHAnsi" w:hAnsiTheme="minorHAnsi" w:cstheme="minorHAnsi"/>
          <w:bCs/>
        </w:rPr>
        <w:t xml:space="preserve">. The results must be annotated with a statement of clinical significance or non-clinical significance, this should be signed and dated by the reviewer. </w:t>
      </w:r>
      <w:r w:rsidR="003E3FD5" w:rsidRPr="00E43935">
        <w:rPr>
          <w:rFonts w:asciiTheme="minorHAnsi" w:hAnsiTheme="minorHAnsi" w:cstheme="minorHAnsi"/>
          <w:bCs/>
        </w:rPr>
        <w:t xml:space="preserve">Clinically significant results must be followed-up with an appropriate action. </w:t>
      </w:r>
    </w:p>
    <w:p w14:paraId="22AEBB77" w14:textId="7F896D43" w:rsidR="00122F1A" w:rsidRDefault="00070A52" w:rsidP="00A95FB2">
      <w:pPr>
        <w:pStyle w:val="Heading1"/>
        <w:numPr>
          <w:ilvl w:val="0"/>
          <w:numId w:val="0"/>
        </w:numPr>
        <w:ind w:left="426" w:hanging="426"/>
      </w:pPr>
      <w:r w:rsidRPr="00E43935">
        <w:t>10.</w:t>
      </w:r>
      <w:r w:rsidR="002D5314" w:rsidRPr="00E43935">
        <w:tab/>
      </w:r>
      <w:r w:rsidR="00122F1A">
        <w:t xml:space="preserve">Investigational Medical Devices and </w:t>
      </w:r>
      <w:r w:rsidR="00122F1A" w:rsidRPr="00E43935">
        <w:t>Investigational Medicinal Products/Accountability</w:t>
      </w:r>
    </w:p>
    <w:p w14:paraId="30C4FC7C" w14:textId="75D392A8" w:rsidR="00122F1A" w:rsidRPr="00122F1A" w:rsidRDefault="006A1C36" w:rsidP="00122F1A">
      <w:pPr>
        <w:spacing w:before="240" w:after="0"/>
        <w:jc w:val="both"/>
        <w:rPr>
          <w:rFonts w:asciiTheme="minorHAnsi" w:hAnsiTheme="minorHAnsi" w:cstheme="minorHAnsi"/>
          <w:bCs/>
        </w:rPr>
      </w:pPr>
      <w:r>
        <w:rPr>
          <w:rFonts w:asciiTheme="minorHAnsi" w:hAnsiTheme="minorHAnsi" w:cstheme="minorHAnsi"/>
          <w:bCs/>
        </w:rPr>
        <w:t>A</w:t>
      </w:r>
      <w:r w:rsidR="00122F1A" w:rsidRPr="00122F1A">
        <w:rPr>
          <w:rFonts w:asciiTheme="minorHAnsi" w:hAnsiTheme="minorHAnsi" w:cstheme="minorHAnsi"/>
          <w:bCs/>
        </w:rPr>
        <w:t xml:space="preserve"> review/</w:t>
      </w:r>
      <w:r w:rsidR="00122F1A">
        <w:rPr>
          <w:rFonts w:asciiTheme="minorHAnsi" w:hAnsiTheme="minorHAnsi" w:cstheme="minorHAnsi"/>
          <w:bCs/>
        </w:rPr>
        <w:t>perform device/</w:t>
      </w:r>
      <w:r w:rsidR="00122F1A" w:rsidRPr="00122F1A">
        <w:rPr>
          <w:rFonts w:asciiTheme="minorHAnsi" w:hAnsiTheme="minorHAnsi" w:cstheme="minorHAnsi"/>
          <w:bCs/>
        </w:rPr>
        <w:t>component accountability will encompass:</w:t>
      </w:r>
    </w:p>
    <w:p w14:paraId="1016DD38" w14:textId="77777777" w:rsidR="00122F1A" w:rsidRPr="00122F1A" w:rsidRDefault="00122F1A" w:rsidP="00122F1A">
      <w:pPr>
        <w:pStyle w:val="ListParagraph"/>
        <w:numPr>
          <w:ilvl w:val="0"/>
          <w:numId w:val="23"/>
        </w:numPr>
        <w:spacing w:before="240" w:after="0"/>
        <w:jc w:val="both"/>
        <w:rPr>
          <w:rFonts w:asciiTheme="minorHAnsi" w:hAnsiTheme="minorHAnsi" w:cstheme="minorHAnsi"/>
          <w:bCs/>
        </w:rPr>
      </w:pPr>
      <w:r w:rsidRPr="00122F1A">
        <w:rPr>
          <w:rFonts w:asciiTheme="minorHAnsi" w:hAnsiTheme="minorHAnsi" w:cstheme="minorHAnsi"/>
          <w:bCs/>
        </w:rPr>
        <w:t>Labelling of Investigational Medical Device</w:t>
      </w:r>
    </w:p>
    <w:p w14:paraId="58315B59" w14:textId="77777777" w:rsidR="00122F1A" w:rsidRPr="00122F1A" w:rsidRDefault="00122F1A" w:rsidP="00122F1A">
      <w:pPr>
        <w:pStyle w:val="ListParagraph"/>
        <w:numPr>
          <w:ilvl w:val="0"/>
          <w:numId w:val="23"/>
        </w:numPr>
        <w:spacing w:before="240" w:after="0"/>
        <w:jc w:val="both"/>
        <w:rPr>
          <w:rFonts w:asciiTheme="minorHAnsi" w:hAnsiTheme="minorHAnsi" w:cstheme="minorHAnsi"/>
          <w:bCs/>
        </w:rPr>
      </w:pPr>
      <w:r w:rsidRPr="00122F1A">
        <w:rPr>
          <w:rFonts w:asciiTheme="minorHAnsi" w:hAnsiTheme="minorHAnsi" w:cstheme="minorHAnsi"/>
          <w:bCs/>
        </w:rPr>
        <w:lastRenderedPageBreak/>
        <w:t>Storage of Investigational Medical Device  (including temperature records where applicable)</w:t>
      </w:r>
    </w:p>
    <w:p w14:paraId="788A5366" w14:textId="77777777" w:rsidR="00122F1A" w:rsidRPr="00122F1A" w:rsidRDefault="00122F1A" w:rsidP="00122F1A">
      <w:pPr>
        <w:pStyle w:val="ListParagraph"/>
        <w:numPr>
          <w:ilvl w:val="0"/>
          <w:numId w:val="23"/>
        </w:numPr>
        <w:spacing w:before="240" w:after="0"/>
        <w:jc w:val="both"/>
        <w:rPr>
          <w:rFonts w:asciiTheme="minorHAnsi" w:hAnsiTheme="minorHAnsi" w:cstheme="minorHAnsi"/>
          <w:bCs/>
        </w:rPr>
      </w:pPr>
      <w:r w:rsidRPr="00122F1A">
        <w:rPr>
          <w:rFonts w:asciiTheme="minorHAnsi" w:hAnsiTheme="minorHAnsi" w:cstheme="minorHAnsi"/>
          <w:bCs/>
        </w:rPr>
        <w:t>Sterilisation processes and records as appropriate</w:t>
      </w:r>
    </w:p>
    <w:p w14:paraId="6DAE69BC" w14:textId="77777777" w:rsidR="00122F1A" w:rsidRPr="00122F1A" w:rsidRDefault="00122F1A" w:rsidP="00122F1A">
      <w:pPr>
        <w:pStyle w:val="ListParagraph"/>
        <w:numPr>
          <w:ilvl w:val="0"/>
          <w:numId w:val="23"/>
        </w:numPr>
        <w:spacing w:before="240" w:after="0"/>
        <w:jc w:val="both"/>
        <w:rPr>
          <w:rFonts w:asciiTheme="minorHAnsi" w:hAnsiTheme="minorHAnsi" w:cstheme="minorHAnsi"/>
          <w:bCs/>
        </w:rPr>
      </w:pPr>
      <w:r w:rsidRPr="00122F1A">
        <w:rPr>
          <w:rFonts w:asciiTheme="minorHAnsi" w:hAnsiTheme="minorHAnsi" w:cstheme="minorHAnsi"/>
          <w:bCs/>
        </w:rPr>
        <w:t>Relevant Training records with regards to user and /or subject</w:t>
      </w:r>
    </w:p>
    <w:p w14:paraId="571B50E6" w14:textId="77777777" w:rsidR="00122F1A" w:rsidRPr="00122F1A" w:rsidRDefault="00122F1A" w:rsidP="00122F1A">
      <w:pPr>
        <w:pStyle w:val="ListParagraph"/>
        <w:numPr>
          <w:ilvl w:val="0"/>
          <w:numId w:val="23"/>
        </w:numPr>
        <w:spacing w:before="240" w:after="0"/>
        <w:jc w:val="both"/>
        <w:rPr>
          <w:rFonts w:asciiTheme="minorHAnsi" w:hAnsiTheme="minorHAnsi" w:cstheme="minorHAnsi"/>
          <w:bCs/>
        </w:rPr>
      </w:pPr>
      <w:r w:rsidRPr="00122F1A">
        <w:rPr>
          <w:rFonts w:asciiTheme="minorHAnsi" w:hAnsiTheme="minorHAnsi" w:cstheme="minorHAnsi"/>
          <w:bCs/>
        </w:rPr>
        <w:t>Calibration and maintenance records</w:t>
      </w:r>
    </w:p>
    <w:p w14:paraId="25DADD7A" w14:textId="4DFB6E48" w:rsidR="00122F1A" w:rsidRPr="00122F1A" w:rsidRDefault="00122F1A" w:rsidP="00122F1A">
      <w:pPr>
        <w:pStyle w:val="ListParagraph"/>
        <w:numPr>
          <w:ilvl w:val="0"/>
          <w:numId w:val="23"/>
        </w:numPr>
        <w:spacing w:before="240" w:after="0"/>
        <w:jc w:val="both"/>
        <w:rPr>
          <w:rFonts w:asciiTheme="minorHAnsi" w:hAnsiTheme="minorHAnsi" w:cstheme="minorHAnsi"/>
          <w:bCs/>
        </w:rPr>
      </w:pPr>
      <w:r w:rsidRPr="00122F1A">
        <w:rPr>
          <w:rFonts w:asciiTheme="minorHAnsi" w:hAnsiTheme="minorHAnsi" w:cstheme="minorHAnsi"/>
          <w:bCs/>
        </w:rPr>
        <w:t>Dispensing/return/destruction records are accurate and verifiable.</w:t>
      </w:r>
    </w:p>
    <w:p w14:paraId="659344CF" w14:textId="77777777" w:rsidR="00D648D2" w:rsidRPr="00E43935"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The frequency of visits to the pharmacy department will be variable during the life of the study, but it would be expected that pharmacy visits will be completed at/prior to initiation </w:t>
      </w:r>
      <w:r w:rsidR="0005114F" w:rsidRPr="00E43935">
        <w:rPr>
          <w:rFonts w:asciiTheme="minorHAnsi" w:hAnsiTheme="minorHAnsi" w:cstheme="minorHAnsi"/>
        </w:rPr>
        <w:t>and at each monitoring visit thereafter</w:t>
      </w:r>
      <w:r w:rsidRPr="00E43935">
        <w:rPr>
          <w:rFonts w:asciiTheme="minorHAnsi" w:hAnsiTheme="minorHAnsi" w:cstheme="minorHAnsi"/>
        </w:rPr>
        <w:t>.</w:t>
      </w:r>
    </w:p>
    <w:p w14:paraId="385BF9B6" w14:textId="2AB6F39D" w:rsidR="00D648D2" w:rsidRPr="00E43935" w:rsidRDefault="006A1C36" w:rsidP="00E43935">
      <w:pPr>
        <w:pStyle w:val="NoSpacing"/>
        <w:spacing w:before="240" w:line="276" w:lineRule="auto"/>
        <w:jc w:val="both"/>
        <w:rPr>
          <w:rFonts w:asciiTheme="minorHAnsi" w:hAnsiTheme="minorHAnsi" w:cstheme="minorHAnsi"/>
        </w:rPr>
      </w:pPr>
      <w:r>
        <w:rPr>
          <w:rFonts w:asciiTheme="minorHAnsi" w:hAnsiTheme="minorHAnsi" w:cstheme="minorHAnsi"/>
        </w:rPr>
        <w:t>Drug</w:t>
      </w:r>
      <w:r w:rsidR="00D648D2" w:rsidRPr="00E43935">
        <w:rPr>
          <w:rFonts w:asciiTheme="minorHAnsi" w:hAnsiTheme="minorHAnsi" w:cstheme="minorHAnsi"/>
        </w:rPr>
        <w:t xml:space="preserve"> accountability will encompass:</w:t>
      </w:r>
    </w:p>
    <w:p w14:paraId="3B8794CF" w14:textId="77777777" w:rsidR="00D648D2" w:rsidRPr="00E43935" w:rsidRDefault="00D648D2" w:rsidP="00E43935">
      <w:pPr>
        <w:pStyle w:val="NoSpacing"/>
        <w:numPr>
          <w:ilvl w:val="0"/>
          <w:numId w:val="2"/>
        </w:numPr>
        <w:spacing w:before="240" w:line="276" w:lineRule="auto"/>
        <w:jc w:val="both"/>
        <w:rPr>
          <w:rFonts w:asciiTheme="minorHAnsi" w:hAnsiTheme="minorHAnsi" w:cstheme="minorHAnsi"/>
        </w:rPr>
      </w:pPr>
      <w:r w:rsidRPr="00E43935">
        <w:rPr>
          <w:rFonts w:asciiTheme="minorHAnsi" w:hAnsiTheme="minorHAnsi" w:cstheme="minorHAnsi"/>
        </w:rPr>
        <w:t>Delivery</w:t>
      </w:r>
      <w:r w:rsidR="0005114F" w:rsidRPr="00E43935">
        <w:rPr>
          <w:rFonts w:asciiTheme="minorHAnsi" w:hAnsiTheme="minorHAnsi" w:cstheme="minorHAnsi"/>
        </w:rPr>
        <w:t xml:space="preserve"> </w:t>
      </w:r>
    </w:p>
    <w:p w14:paraId="5B648CEF" w14:textId="77777777" w:rsidR="000D2FE0" w:rsidRPr="00E43935" w:rsidRDefault="000D2FE0" w:rsidP="00E43935">
      <w:pPr>
        <w:pStyle w:val="NoSpacing"/>
        <w:numPr>
          <w:ilvl w:val="0"/>
          <w:numId w:val="2"/>
        </w:numPr>
        <w:spacing w:before="240" w:line="276" w:lineRule="auto"/>
        <w:jc w:val="both"/>
        <w:rPr>
          <w:rFonts w:asciiTheme="minorHAnsi" w:hAnsiTheme="minorHAnsi" w:cstheme="minorHAnsi"/>
        </w:rPr>
      </w:pPr>
      <w:r w:rsidRPr="00E43935">
        <w:rPr>
          <w:rFonts w:asciiTheme="minorHAnsi" w:hAnsiTheme="minorHAnsi" w:cstheme="minorHAnsi"/>
        </w:rPr>
        <w:t>QP Release</w:t>
      </w:r>
    </w:p>
    <w:p w14:paraId="3B7F8E75" w14:textId="77777777" w:rsidR="00D648D2" w:rsidRPr="00E43935" w:rsidRDefault="00D648D2" w:rsidP="00E43935">
      <w:pPr>
        <w:pStyle w:val="NoSpacing"/>
        <w:numPr>
          <w:ilvl w:val="0"/>
          <w:numId w:val="2"/>
        </w:numPr>
        <w:spacing w:before="240" w:line="276" w:lineRule="auto"/>
        <w:jc w:val="both"/>
        <w:rPr>
          <w:rFonts w:asciiTheme="minorHAnsi" w:hAnsiTheme="minorHAnsi" w:cstheme="minorHAnsi"/>
        </w:rPr>
      </w:pPr>
      <w:r w:rsidRPr="00E43935">
        <w:rPr>
          <w:rFonts w:asciiTheme="minorHAnsi" w:hAnsiTheme="minorHAnsi" w:cstheme="minorHAnsi"/>
        </w:rPr>
        <w:t>Receipt</w:t>
      </w:r>
      <w:r w:rsidR="008A5422" w:rsidRPr="00E43935">
        <w:rPr>
          <w:rFonts w:asciiTheme="minorHAnsi" w:hAnsiTheme="minorHAnsi" w:cstheme="minorHAnsi"/>
        </w:rPr>
        <w:t xml:space="preserve"> </w:t>
      </w:r>
    </w:p>
    <w:p w14:paraId="2788EBFB" w14:textId="77777777" w:rsidR="00D648D2" w:rsidRPr="00E43935" w:rsidRDefault="00D648D2" w:rsidP="00E43935">
      <w:pPr>
        <w:pStyle w:val="NoSpacing"/>
        <w:numPr>
          <w:ilvl w:val="0"/>
          <w:numId w:val="2"/>
        </w:numPr>
        <w:spacing w:before="240" w:line="276" w:lineRule="auto"/>
        <w:jc w:val="both"/>
        <w:rPr>
          <w:rFonts w:asciiTheme="minorHAnsi" w:hAnsiTheme="minorHAnsi" w:cstheme="minorHAnsi"/>
        </w:rPr>
      </w:pPr>
      <w:r w:rsidRPr="00E43935">
        <w:rPr>
          <w:rFonts w:asciiTheme="minorHAnsi" w:hAnsiTheme="minorHAnsi" w:cstheme="minorHAnsi"/>
        </w:rPr>
        <w:t>Storage</w:t>
      </w:r>
      <w:r w:rsidR="008A5422" w:rsidRPr="00E43935">
        <w:rPr>
          <w:rFonts w:asciiTheme="minorHAnsi" w:hAnsiTheme="minorHAnsi" w:cstheme="minorHAnsi"/>
        </w:rPr>
        <w:t xml:space="preserve"> </w:t>
      </w:r>
    </w:p>
    <w:p w14:paraId="4AD1CEFB" w14:textId="072B0D7E" w:rsidR="00D648D2" w:rsidRPr="00E43935" w:rsidRDefault="00D648D2" w:rsidP="00E43935">
      <w:pPr>
        <w:pStyle w:val="NoSpacing"/>
        <w:numPr>
          <w:ilvl w:val="0"/>
          <w:numId w:val="2"/>
        </w:numPr>
        <w:spacing w:before="240" w:line="276" w:lineRule="auto"/>
        <w:jc w:val="both"/>
        <w:rPr>
          <w:rFonts w:asciiTheme="minorHAnsi" w:hAnsiTheme="minorHAnsi" w:cstheme="minorHAnsi"/>
        </w:rPr>
      </w:pPr>
      <w:r w:rsidRPr="00E43935">
        <w:rPr>
          <w:rFonts w:asciiTheme="minorHAnsi" w:hAnsiTheme="minorHAnsi" w:cstheme="minorHAnsi"/>
        </w:rPr>
        <w:t>Temperature monitoring</w:t>
      </w:r>
      <w:r w:rsidR="008A5422" w:rsidRPr="00E43935">
        <w:rPr>
          <w:rFonts w:asciiTheme="minorHAnsi" w:hAnsiTheme="minorHAnsi" w:cstheme="minorHAnsi"/>
        </w:rPr>
        <w:t xml:space="preserve"> – </w:t>
      </w:r>
      <w:r w:rsidR="008A27B4" w:rsidRPr="00E43935">
        <w:rPr>
          <w:rFonts w:asciiTheme="minorHAnsi" w:hAnsiTheme="minorHAnsi" w:cstheme="minorHAnsi"/>
        </w:rPr>
        <w:t>Clinical Tria</w:t>
      </w:r>
      <w:r w:rsidR="0005114F" w:rsidRPr="00E43935">
        <w:rPr>
          <w:rFonts w:asciiTheme="minorHAnsi" w:hAnsiTheme="minorHAnsi" w:cstheme="minorHAnsi"/>
        </w:rPr>
        <w:t>ls is monitored by Tutela</w:t>
      </w:r>
      <w:r w:rsidR="000D2FE0" w:rsidRPr="00E43935">
        <w:rPr>
          <w:rFonts w:asciiTheme="minorHAnsi" w:hAnsiTheme="minorHAnsi" w:cstheme="minorHAnsi"/>
        </w:rPr>
        <w:t>, records will be checked</w:t>
      </w:r>
    </w:p>
    <w:p w14:paraId="6DFE4201" w14:textId="77777777" w:rsidR="00D648D2" w:rsidRPr="00E43935" w:rsidRDefault="00D648D2" w:rsidP="00E43935">
      <w:pPr>
        <w:pStyle w:val="NoSpacing"/>
        <w:numPr>
          <w:ilvl w:val="0"/>
          <w:numId w:val="2"/>
        </w:numPr>
        <w:spacing w:before="240" w:line="276" w:lineRule="auto"/>
        <w:jc w:val="both"/>
        <w:rPr>
          <w:rFonts w:asciiTheme="minorHAnsi" w:hAnsiTheme="minorHAnsi" w:cstheme="minorHAnsi"/>
        </w:rPr>
      </w:pPr>
      <w:r w:rsidRPr="00E43935">
        <w:rPr>
          <w:rFonts w:asciiTheme="minorHAnsi" w:hAnsiTheme="minorHAnsi" w:cstheme="minorHAnsi"/>
        </w:rPr>
        <w:t>Dispensing</w:t>
      </w:r>
      <w:r w:rsidR="008A5422" w:rsidRPr="00E43935">
        <w:rPr>
          <w:rFonts w:asciiTheme="minorHAnsi" w:hAnsiTheme="minorHAnsi" w:cstheme="minorHAnsi"/>
        </w:rPr>
        <w:t xml:space="preserve"> – Pharmacy accountability log</w:t>
      </w:r>
      <w:r w:rsidR="00B82077" w:rsidRPr="00E43935">
        <w:rPr>
          <w:rFonts w:asciiTheme="minorHAnsi" w:hAnsiTheme="minorHAnsi" w:cstheme="minorHAnsi"/>
        </w:rPr>
        <w:t>s</w:t>
      </w:r>
      <w:r w:rsidR="008A5422" w:rsidRPr="00E43935">
        <w:rPr>
          <w:rFonts w:asciiTheme="minorHAnsi" w:hAnsiTheme="minorHAnsi" w:cstheme="minorHAnsi"/>
        </w:rPr>
        <w:t xml:space="preserve"> to be checked</w:t>
      </w:r>
      <w:r w:rsidR="00B82077" w:rsidRPr="00E43935">
        <w:rPr>
          <w:rFonts w:asciiTheme="minorHAnsi" w:hAnsiTheme="minorHAnsi" w:cstheme="minorHAnsi"/>
        </w:rPr>
        <w:t>, prescriptions</w:t>
      </w:r>
    </w:p>
    <w:p w14:paraId="4E3723DD" w14:textId="5BD7C9EB" w:rsidR="00D648D2" w:rsidRDefault="00D648D2" w:rsidP="00E43935">
      <w:pPr>
        <w:pStyle w:val="NoSpacing"/>
        <w:numPr>
          <w:ilvl w:val="0"/>
          <w:numId w:val="2"/>
        </w:numPr>
        <w:spacing w:before="240" w:line="276" w:lineRule="auto"/>
        <w:jc w:val="both"/>
        <w:rPr>
          <w:rFonts w:asciiTheme="minorHAnsi" w:hAnsiTheme="minorHAnsi" w:cstheme="minorHAnsi"/>
        </w:rPr>
      </w:pPr>
      <w:r w:rsidRPr="00E43935">
        <w:rPr>
          <w:rFonts w:asciiTheme="minorHAnsi" w:hAnsiTheme="minorHAnsi" w:cstheme="minorHAnsi"/>
        </w:rPr>
        <w:t>Returns</w:t>
      </w:r>
      <w:r w:rsidR="008A5422" w:rsidRPr="00E43935">
        <w:rPr>
          <w:rFonts w:asciiTheme="minorHAnsi" w:hAnsiTheme="minorHAnsi" w:cstheme="minorHAnsi"/>
        </w:rPr>
        <w:t xml:space="preserve"> – </w:t>
      </w:r>
      <w:r w:rsidR="003E3FD5" w:rsidRPr="00E43935">
        <w:rPr>
          <w:rFonts w:asciiTheme="minorHAnsi" w:hAnsiTheme="minorHAnsi" w:cstheme="minorHAnsi"/>
        </w:rPr>
        <w:t>bottles</w:t>
      </w:r>
      <w:r w:rsidR="008A5422" w:rsidRPr="00E43935">
        <w:rPr>
          <w:rFonts w:asciiTheme="minorHAnsi" w:hAnsiTheme="minorHAnsi" w:cstheme="minorHAnsi"/>
        </w:rPr>
        <w:t xml:space="preserve"> to be checked</w:t>
      </w:r>
    </w:p>
    <w:p w14:paraId="006A1A09" w14:textId="6477BE9A" w:rsidR="0085752F" w:rsidRPr="0085752F" w:rsidRDefault="0085752F" w:rsidP="0085752F">
      <w:pPr>
        <w:pStyle w:val="NoSpacing"/>
        <w:spacing w:before="240" w:line="276" w:lineRule="auto"/>
        <w:jc w:val="both"/>
        <w:rPr>
          <w:rFonts w:asciiTheme="minorHAnsi" w:hAnsiTheme="minorHAnsi" w:cstheme="minorHAnsi"/>
          <w:b/>
        </w:rPr>
      </w:pPr>
      <w:r w:rsidRPr="0085752F">
        <w:rPr>
          <w:rFonts w:asciiTheme="minorHAnsi" w:hAnsiTheme="minorHAnsi" w:cstheme="minorHAnsi"/>
          <w:b/>
        </w:rPr>
        <w:t>&lt;</w:t>
      </w:r>
      <w:proofErr w:type="gramStart"/>
      <w:r w:rsidRPr="0085752F">
        <w:rPr>
          <w:rFonts w:asciiTheme="minorHAnsi" w:hAnsiTheme="minorHAnsi" w:cstheme="minorHAnsi"/>
          <w:b/>
        </w:rPr>
        <w:t>insert</w:t>
      </w:r>
      <w:proofErr w:type="gramEnd"/>
      <w:r w:rsidRPr="0085752F">
        <w:rPr>
          <w:rFonts w:asciiTheme="minorHAnsi" w:hAnsiTheme="minorHAnsi" w:cstheme="minorHAnsi"/>
          <w:b/>
        </w:rPr>
        <w:t xml:space="preserve"> any trial-specific arrangements or requirements&gt;</w:t>
      </w:r>
    </w:p>
    <w:p w14:paraId="07743EC9" w14:textId="6A1D166F" w:rsidR="00D648D2" w:rsidRPr="00E43935" w:rsidRDefault="002D5314" w:rsidP="00A95FB2">
      <w:pPr>
        <w:pStyle w:val="Heading1"/>
        <w:numPr>
          <w:ilvl w:val="0"/>
          <w:numId w:val="0"/>
        </w:numPr>
        <w:ind w:left="426" w:hanging="426"/>
      </w:pPr>
      <w:r w:rsidRPr="00E43935">
        <w:t>1</w:t>
      </w:r>
      <w:r w:rsidR="00070A52" w:rsidRPr="00E43935">
        <w:t>1</w:t>
      </w:r>
      <w:r w:rsidR="00D648D2" w:rsidRPr="00E43935">
        <w:t xml:space="preserve">. </w:t>
      </w:r>
      <w:r w:rsidR="00BE4163">
        <w:tab/>
      </w:r>
      <w:r w:rsidR="00D648D2" w:rsidRPr="00E43935">
        <w:t>Trial Master File/Investigator Site File (TMF/ISF)</w:t>
      </w:r>
    </w:p>
    <w:p w14:paraId="72CBB386" w14:textId="77777777" w:rsidR="006A1C36" w:rsidRPr="00E43935" w:rsidRDefault="006A1C36" w:rsidP="006A1C36">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The </w:t>
      </w:r>
      <w:r>
        <w:rPr>
          <w:rFonts w:asciiTheme="minorHAnsi" w:hAnsiTheme="minorHAnsi" w:cstheme="minorHAnsi"/>
        </w:rPr>
        <w:t>relevant Trial or Investigator Site File</w:t>
      </w:r>
      <w:r w:rsidRPr="00E43935">
        <w:rPr>
          <w:rFonts w:asciiTheme="minorHAnsi" w:hAnsiTheme="minorHAnsi" w:cstheme="minorHAnsi"/>
        </w:rPr>
        <w:t xml:space="preserve"> will be reviewed</w:t>
      </w:r>
      <w:r>
        <w:rPr>
          <w:rFonts w:asciiTheme="minorHAnsi" w:hAnsiTheme="minorHAnsi" w:cstheme="minorHAnsi"/>
        </w:rPr>
        <w:t xml:space="preserve"> at the SIV and then as appropriate at interim visits</w:t>
      </w:r>
      <w:r w:rsidRPr="00E43935">
        <w:rPr>
          <w:rFonts w:asciiTheme="minorHAnsi" w:hAnsiTheme="minorHAnsi" w:cstheme="minorHAnsi"/>
        </w:rPr>
        <w:t>. Any items missing from the file should be documented in the monitoring visit report. The monitor should check that missing items have been</w:t>
      </w:r>
      <w:r>
        <w:rPr>
          <w:rFonts w:asciiTheme="minorHAnsi" w:hAnsiTheme="minorHAnsi" w:cstheme="minorHAnsi"/>
        </w:rPr>
        <w:t xml:space="preserve"> filed at the next visit (on-site or remote)</w:t>
      </w:r>
      <w:r w:rsidRPr="00E43935">
        <w:rPr>
          <w:rFonts w:asciiTheme="minorHAnsi" w:hAnsiTheme="minorHAnsi" w:cstheme="minorHAnsi"/>
        </w:rPr>
        <w:t>.</w:t>
      </w:r>
    </w:p>
    <w:p w14:paraId="0BB2FF43" w14:textId="77777777" w:rsidR="006A1C36" w:rsidRPr="00E43935" w:rsidRDefault="006A1C36" w:rsidP="006A1C36">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Details of all </w:t>
      </w:r>
      <w:r>
        <w:rPr>
          <w:rFonts w:asciiTheme="minorHAnsi" w:hAnsiTheme="minorHAnsi" w:cstheme="minorHAnsi"/>
        </w:rPr>
        <w:t xml:space="preserve">new </w:t>
      </w:r>
      <w:r w:rsidRPr="00E43935">
        <w:rPr>
          <w:rFonts w:asciiTheme="minorHAnsi" w:hAnsiTheme="minorHAnsi" w:cstheme="minorHAnsi"/>
        </w:rPr>
        <w:t>study personnel</w:t>
      </w:r>
      <w:r>
        <w:rPr>
          <w:rFonts w:asciiTheme="minorHAnsi" w:hAnsiTheme="minorHAnsi" w:cstheme="minorHAnsi"/>
        </w:rPr>
        <w:t>, t</w:t>
      </w:r>
      <w:r w:rsidRPr="00E43935">
        <w:rPr>
          <w:rFonts w:asciiTheme="minorHAnsi" w:hAnsiTheme="minorHAnsi" w:cstheme="minorHAnsi"/>
        </w:rPr>
        <w:t xml:space="preserve">he </w:t>
      </w:r>
      <w:r>
        <w:rPr>
          <w:rFonts w:asciiTheme="minorHAnsi" w:hAnsiTheme="minorHAnsi" w:cstheme="minorHAnsi"/>
        </w:rPr>
        <w:t>Delegation of Authority and Signature Log</w:t>
      </w:r>
      <w:r w:rsidRPr="00E43935">
        <w:rPr>
          <w:rFonts w:asciiTheme="minorHAnsi" w:hAnsiTheme="minorHAnsi" w:cstheme="minorHAnsi"/>
        </w:rPr>
        <w:t xml:space="preserve"> and evidence of training</w:t>
      </w:r>
      <w:r>
        <w:rPr>
          <w:rFonts w:asciiTheme="minorHAnsi" w:hAnsiTheme="minorHAnsi" w:cstheme="minorHAnsi"/>
        </w:rPr>
        <w:t xml:space="preserve"> for any new entries</w:t>
      </w:r>
      <w:r w:rsidRPr="00E43935">
        <w:rPr>
          <w:rFonts w:asciiTheme="minorHAnsi" w:hAnsiTheme="minorHAnsi" w:cstheme="minorHAnsi"/>
        </w:rPr>
        <w:t xml:space="preserve"> will be reviewed </w:t>
      </w:r>
      <w:r>
        <w:rPr>
          <w:rFonts w:asciiTheme="minorHAnsi" w:hAnsiTheme="minorHAnsi" w:cstheme="minorHAnsi"/>
        </w:rPr>
        <w:t>as appropriate</w:t>
      </w:r>
      <w:r w:rsidRPr="00E43935">
        <w:rPr>
          <w:rFonts w:asciiTheme="minorHAnsi" w:hAnsiTheme="minorHAnsi" w:cstheme="minorHAnsi"/>
        </w:rPr>
        <w:t>.</w:t>
      </w:r>
    </w:p>
    <w:p w14:paraId="00F7501D" w14:textId="5A859343" w:rsidR="00D648D2" w:rsidRPr="00E43935" w:rsidRDefault="002D5314" w:rsidP="00A95FB2">
      <w:pPr>
        <w:pStyle w:val="Heading1"/>
        <w:numPr>
          <w:ilvl w:val="0"/>
          <w:numId w:val="0"/>
        </w:numPr>
        <w:ind w:left="426" w:hanging="426"/>
      </w:pPr>
      <w:r w:rsidRPr="00E43935">
        <w:t>1</w:t>
      </w:r>
      <w:r w:rsidR="00070A52" w:rsidRPr="00E43935">
        <w:t>2</w:t>
      </w:r>
      <w:r w:rsidR="00D648D2" w:rsidRPr="00E43935">
        <w:t xml:space="preserve">. </w:t>
      </w:r>
      <w:r w:rsidR="00BE4163">
        <w:tab/>
      </w:r>
      <w:r w:rsidR="0085752F">
        <w:t>Sample/Specimen Processes and S</w:t>
      </w:r>
      <w:r w:rsidR="00D648D2" w:rsidRPr="00E43935">
        <w:t>torage</w:t>
      </w:r>
    </w:p>
    <w:p w14:paraId="2AC91113" w14:textId="5ABB15CD" w:rsidR="00D648D2" w:rsidRPr="00E43935"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Laborato</w:t>
      </w:r>
      <w:r w:rsidR="0005114F" w:rsidRPr="00E43935">
        <w:rPr>
          <w:rFonts w:asciiTheme="minorHAnsi" w:hAnsiTheme="minorHAnsi" w:cstheme="minorHAnsi"/>
        </w:rPr>
        <w:t>ry process and storage systems/</w:t>
      </w:r>
      <w:r w:rsidRPr="00E43935">
        <w:rPr>
          <w:rFonts w:asciiTheme="minorHAnsi" w:hAnsiTheme="minorHAnsi" w:cstheme="minorHAnsi"/>
        </w:rPr>
        <w:t>temperature monitoring/emergency processes will be reviewed</w:t>
      </w:r>
      <w:r w:rsidR="0085752F">
        <w:rPr>
          <w:rFonts w:asciiTheme="minorHAnsi" w:hAnsiTheme="minorHAnsi" w:cstheme="minorHAnsi"/>
        </w:rPr>
        <w:t xml:space="preserve"> as appropriate</w:t>
      </w:r>
      <w:r w:rsidRPr="00E43935">
        <w:rPr>
          <w:rFonts w:asciiTheme="minorHAnsi" w:hAnsiTheme="minorHAnsi" w:cstheme="minorHAnsi"/>
        </w:rPr>
        <w:t>.</w:t>
      </w:r>
      <w:r w:rsidR="008A6886" w:rsidRPr="00E43935">
        <w:rPr>
          <w:rFonts w:asciiTheme="minorHAnsi" w:hAnsiTheme="minorHAnsi" w:cstheme="minorHAnsi"/>
        </w:rPr>
        <w:t xml:space="preserve"> </w:t>
      </w:r>
      <w:r w:rsidRPr="00E43935">
        <w:rPr>
          <w:rFonts w:asciiTheme="minorHAnsi" w:hAnsiTheme="minorHAnsi" w:cstheme="minorHAnsi"/>
        </w:rPr>
        <w:t>The monitor will ensure that shipment requirements and processes have been adhered to and documented evidence is available. The monitor will ensure that records of relevant calibration/maintenance records are available for equipment where appropriate.</w:t>
      </w:r>
    </w:p>
    <w:p w14:paraId="7EA0C3A4" w14:textId="23C00FA5" w:rsidR="00D648D2" w:rsidRPr="00E43935" w:rsidRDefault="00070A52" w:rsidP="00A95FB2">
      <w:pPr>
        <w:pStyle w:val="Heading1"/>
        <w:numPr>
          <w:ilvl w:val="0"/>
          <w:numId w:val="0"/>
        </w:numPr>
        <w:ind w:left="426" w:hanging="426"/>
      </w:pPr>
      <w:r w:rsidRPr="00E43935">
        <w:t>13</w:t>
      </w:r>
      <w:r w:rsidR="00D648D2" w:rsidRPr="00E43935">
        <w:t xml:space="preserve">. </w:t>
      </w:r>
      <w:r w:rsidR="00BE4163">
        <w:tab/>
      </w:r>
      <w:r w:rsidR="00D648D2" w:rsidRPr="00E43935">
        <w:t>Data</w:t>
      </w:r>
      <w:r w:rsidR="008A6886" w:rsidRPr="00E43935">
        <w:t xml:space="preserve"> C</w:t>
      </w:r>
      <w:r w:rsidR="0005114F" w:rsidRPr="00E43935">
        <w:t>ollection</w:t>
      </w:r>
      <w:r w:rsidR="0085752F">
        <w:t xml:space="preserve"> and Management Pl, Data </w:t>
      </w:r>
      <w:r w:rsidR="00D648D2" w:rsidRPr="00E43935">
        <w:t xml:space="preserve">Storage/IT </w:t>
      </w:r>
      <w:r w:rsidR="0085752F">
        <w:t>S</w:t>
      </w:r>
      <w:r w:rsidR="00D648D2" w:rsidRPr="00E43935">
        <w:t>ecurity</w:t>
      </w:r>
      <w:r w:rsidR="0085752F">
        <w:t>, and Statistical Analysis Plan</w:t>
      </w:r>
    </w:p>
    <w:p w14:paraId="105A90C3" w14:textId="77777777" w:rsidR="008625F6" w:rsidRPr="008625F6" w:rsidRDefault="008A27B4" w:rsidP="008625F6">
      <w:pPr>
        <w:spacing w:before="240" w:after="0"/>
        <w:jc w:val="both"/>
        <w:rPr>
          <w:rFonts w:asciiTheme="minorHAnsi" w:hAnsiTheme="minorHAnsi" w:cstheme="minorHAnsi"/>
        </w:rPr>
      </w:pPr>
      <w:r w:rsidRPr="00E43935">
        <w:rPr>
          <w:rFonts w:asciiTheme="minorHAnsi" w:hAnsiTheme="minorHAnsi" w:cstheme="minorHAnsi"/>
        </w:rPr>
        <w:lastRenderedPageBreak/>
        <w:t xml:space="preserve">The monitor will </w:t>
      </w:r>
      <w:r w:rsidR="008625F6">
        <w:rPr>
          <w:rFonts w:asciiTheme="minorHAnsi" w:hAnsiTheme="minorHAnsi" w:cstheme="minorHAnsi"/>
        </w:rPr>
        <w:t xml:space="preserve">ensure that an effective Data Management Plan is in place (where appropriate/necessary) in addition to confirming that there are appropriate and secure </w:t>
      </w:r>
      <w:r w:rsidRPr="00E43935">
        <w:rPr>
          <w:rFonts w:asciiTheme="minorHAnsi" w:hAnsiTheme="minorHAnsi" w:cstheme="minorHAnsi"/>
        </w:rPr>
        <w:t>measures</w:t>
      </w:r>
      <w:r w:rsidR="008625F6">
        <w:rPr>
          <w:rFonts w:asciiTheme="minorHAnsi" w:hAnsiTheme="minorHAnsi" w:cstheme="minorHAnsi"/>
        </w:rPr>
        <w:t xml:space="preserve"> in place for</w:t>
      </w:r>
      <w:r w:rsidR="00D648D2" w:rsidRPr="00E43935">
        <w:rPr>
          <w:rFonts w:asciiTheme="minorHAnsi" w:hAnsiTheme="minorHAnsi" w:cstheme="minorHAnsi"/>
        </w:rPr>
        <w:t xml:space="preserve"> all data whether electronic/paper. </w:t>
      </w:r>
      <w:r w:rsidR="008625F6" w:rsidRPr="008625F6">
        <w:rPr>
          <w:rFonts w:asciiTheme="minorHAnsi" w:hAnsiTheme="minorHAnsi" w:cstheme="minorHAnsi"/>
        </w:rPr>
        <w:t>Electronic records must have restricted access and be password protected.</w:t>
      </w:r>
    </w:p>
    <w:p w14:paraId="787E69B1" w14:textId="53C0E977" w:rsidR="00D648D2" w:rsidRPr="00E43935" w:rsidRDefault="008625F6" w:rsidP="00E43935">
      <w:pPr>
        <w:spacing w:before="240" w:after="0"/>
        <w:jc w:val="both"/>
        <w:rPr>
          <w:rFonts w:asciiTheme="minorHAnsi" w:hAnsiTheme="minorHAnsi" w:cstheme="minorHAnsi"/>
        </w:rPr>
      </w:pPr>
      <w:r w:rsidRPr="008625F6">
        <w:rPr>
          <w:rFonts w:asciiTheme="minorHAnsi" w:hAnsiTheme="minorHAnsi" w:cstheme="minorHAnsi"/>
        </w:rPr>
        <w:t>Where data is being accessed from an external source (e.g. HSCIC), the data sharing agreement should be examined to ensure compliance with the terms and conditions of the agreement.</w:t>
      </w:r>
    </w:p>
    <w:p w14:paraId="24A99E51" w14:textId="15A5A6CE" w:rsidR="00D648D2" w:rsidRPr="00E43935" w:rsidRDefault="002D5314" w:rsidP="00A95FB2">
      <w:pPr>
        <w:pStyle w:val="Heading1"/>
        <w:numPr>
          <w:ilvl w:val="0"/>
          <w:numId w:val="0"/>
        </w:numPr>
        <w:ind w:left="426" w:hanging="426"/>
      </w:pPr>
      <w:r w:rsidRPr="00E43935">
        <w:t>1</w:t>
      </w:r>
      <w:r w:rsidR="00070A52" w:rsidRPr="00E43935">
        <w:t>4</w:t>
      </w:r>
      <w:r w:rsidR="00D648D2" w:rsidRPr="00E43935">
        <w:t xml:space="preserve">. </w:t>
      </w:r>
      <w:r w:rsidR="00BE4163">
        <w:tab/>
      </w:r>
      <w:r w:rsidR="00D648D2" w:rsidRPr="00E43935">
        <w:t>Finance/Contracts</w:t>
      </w:r>
    </w:p>
    <w:p w14:paraId="1A2B5C60" w14:textId="6B0EE9FB" w:rsidR="00D648D2" w:rsidRPr="00E43935" w:rsidRDefault="008A27B4"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The monitor will e</w:t>
      </w:r>
      <w:r w:rsidR="00D648D2" w:rsidRPr="00E43935">
        <w:rPr>
          <w:rFonts w:asciiTheme="minorHAnsi" w:hAnsiTheme="minorHAnsi" w:cstheme="minorHAnsi"/>
        </w:rPr>
        <w:t>nsure that there are p</w:t>
      </w:r>
      <w:r w:rsidR="008A6886" w:rsidRPr="00E43935">
        <w:rPr>
          <w:rFonts w:asciiTheme="minorHAnsi" w:hAnsiTheme="minorHAnsi" w:cstheme="minorHAnsi"/>
        </w:rPr>
        <w:t>rocesses</w:t>
      </w:r>
      <w:r w:rsidR="00D648D2" w:rsidRPr="00E43935">
        <w:rPr>
          <w:rFonts w:asciiTheme="minorHAnsi" w:hAnsiTheme="minorHAnsi" w:cstheme="minorHAnsi"/>
        </w:rPr>
        <w:t xml:space="preserve"> and evidence in place for all payments for ancillary services and </w:t>
      </w:r>
      <w:r w:rsidR="008A6886" w:rsidRPr="00E43935">
        <w:rPr>
          <w:rFonts w:asciiTheme="minorHAnsi" w:hAnsiTheme="minorHAnsi" w:cstheme="minorHAnsi"/>
        </w:rPr>
        <w:t>p</w:t>
      </w:r>
      <w:r w:rsidR="00D648D2" w:rsidRPr="00E43935">
        <w:rPr>
          <w:rFonts w:asciiTheme="minorHAnsi" w:hAnsiTheme="minorHAnsi" w:cstheme="minorHAnsi"/>
        </w:rPr>
        <w:t>atient expenses.</w:t>
      </w:r>
    </w:p>
    <w:p w14:paraId="0C838547" w14:textId="0EFCD91F" w:rsidR="00D648D2" w:rsidRPr="00E43935" w:rsidRDefault="00D648D2" w:rsidP="00A95FB2">
      <w:pPr>
        <w:pStyle w:val="Heading1"/>
        <w:numPr>
          <w:ilvl w:val="0"/>
          <w:numId w:val="0"/>
        </w:numPr>
        <w:ind w:left="426" w:hanging="426"/>
      </w:pPr>
      <w:r w:rsidRPr="00E43935">
        <w:t>1</w:t>
      </w:r>
      <w:r w:rsidR="00070A52" w:rsidRPr="00E43935">
        <w:t>5</w:t>
      </w:r>
      <w:r w:rsidRPr="00E43935">
        <w:t>.</w:t>
      </w:r>
      <w:r w:rsidR="00C177D1" w:rsidRPr="00E43935">
        <w:t xml:space="preserve"> </w:t>
      </w:r>
      <w:r w:rsidR="00BE4163">
        <w:tab/>
      </w:r>
      <w:r w:rsidRPr="00E43935">
        <w:t>Communication</w:t>
      </w:r>
    </w:p>
    <w:p w14:paraId="2C9CA353" w14:textId="53BF07EE" w:rsidR="004E7436" w:rsidRPr="00E43935" w:rsidRDefault="00D648D2" w:rsidP="00E43935">
      <w:pPr>
        <w:pStyle w:val="ListParagraph"/>
        <w:spacing w:before="240" w:after="0"/>
        <w:ind w:left="0"/>
        <w:jc w:val="both"/>
        <w:rPr>
          <w:rFonts w:asciiTheme="minorHAnsi" w:hAnsiTheme="minorHAnsi" w:cstheme="minorHAnsi"/>
        </w:rPr>
      </w:pPr>
      <w:r w:rsidRPr="00E43935">
        <w:rPr>
          <w:rFonts w:asciiTheme="minorHAnsi" w:hAnsiTheme="minorHAnsi" w:cstheme="minorHAnsi"/>
        </w:rPr>
        <w:t xml:space="preserve">Email communication between the site and the monitor should be filed in the Site File. </w:t>
      </w:r>
    </w:p>
    <w:p w14:paraId="10327947" w14:textId="6E6A76DA" w:rsidR="00D648D2" w:rsidRPr="00E43935" w:rsidRDefault="00D648D2" w:rsidP="00A95FB2">
      <w:pPr>
        <w:pStyle w:val="Heading1"/>
        <w:numPr>
          <w:ilvl w:val="0"/>
          <w:numId w:val="0"/>
        </w:numPr>
        <w:ind w:left="426" w:hanging="426"/>
      </w:pPr>
      <w:r w:rsidRPr="00E43935">
        <w:t>1</w:t>
      </w:r>
      <w:r w:rsidR="00070A52" w:rsidRPr="00E43935">
        <w:t>6</w:t>
      </w:r>
      <w:r w:rsidRPr="00E43935">
        <w:t xml:space="preserve">. </w:t>
      </w:r>
      <w:r w:rsidR="00BE4163">
        <w:tab/>
      </w:r>
      <w:r w:rsidR="008625F6">
        <w:t xml:space="preserve">On-site </w:t>
      </w:r>
      <w:r w:rsidRPr="00E43935">
        <w:t xml:space="preserve">Monitoring </w:t>
      </w:r>
      <w:r w:rsidR="008625F6">
        <w:t xml:space="preserve">Visit </w:t>
      </w:r>
      <w:r w:rsidRPr="00E43935">
        <w:t>Reports</w:t>
      </w:r>
      <w:r w:rsidR="008625F6">
        <w:t xml:space="preserve"> and Remote Monitoring Visit Reports</w:t>
      </w:r>
    </w:p>
    <w:p w14:paraId="7B634F43" w14:textId="11BC117F" w:rsidR="00D648D2" w:rsidRPr="00E43935" w:rsidRDefault="008625F6" w:rsidP="00E43935">
      <w:pPr>
        <w:pStyle w:val="ListParagraph"/>
        <w:spacing w:before="240" w:after="0"/>
        <w:ind w:left="0"/>
        <w:jc w:val="both"/>
        <w:rPr>
          <w:rFonts w:asciiTheme="minorHAnsi" w:hAnsiTheme="minorHAnsi" w:cstheme="minorHAnsi"/>
        </w:rPr>
      </w:pPr>
      <w:r>
        <w:rPr>
          <w:rFonts w:asciiTheme="minorHAnsi" w:hAnsiTheme="minorHAnsi" w:cstheme="minorHAnsi"/>
        </w:rPr>
        <w:t>On-site Monitoring V</w:t>
      </w:r>
      <w:r w:rsidR="00D648D2" w:rsidRPr="00E43935">
        <w:rPr>
          <w:rFonts w:asciiTheme="minorHAnsi" w:hAnsiTheme="minorHAnsi" w:cstheme="minorHAnsi"/>
        </w:rPr>
        <w:t>isit reports will be produced by the monitor, and sent to the</w:t>
      </w:r>
      <w:r w:rsidR="008A6886" w:rsidRPr="00E43935">
        <w:rPr>
          <w:rFonts w:asciiTheme="minorHAnsi" w:hAnsiTheme="minorHAnsi" w:cstheme="minorHAnsi"/>
        </w:rPr>
        <w:t xml:space="preserve"> </w:t>
      </w:r>
      <w:r>
        <w:rPr>
          <w:rFonts w:asciiTheme="minorHAnsi" w:hAnsiTheme="minorHAnsi" w:cstheme="minorHAnsi"/>
        </w:rPr>
        <w:t xml:space="preserve">relevant site staff </w:t>
      </w:r>
      <w:r w:rsidR="00C177D1" w:rsidRPr="00E43935">
        <w:rPr>
          <w:rFonts w:asciiTheme="minorHAnsi" w:hAnsiTheme="minorHAnsi" w:cstheme="minorHAnsi"/>
        </w:rPr>
        <w:t>for</w:t>
      </w:r>
      <w:r w:rsidR="00D648D2" w:rsidRPr="00E43935">
        <w:rPr>
          <w:rFonts w:asciiTheme="minorHAnsi" w:hAnsiTheme="minorHAnsi" w:cstheme="minorHAnsi"/>
        </w:rPr>
        <w:t xml:space="preserve"> their review, along with a summary of the findings. This report will be forwarded to the </w:t>
      </w:r>
      <w:r>
        <w:rPr>
          <w:rFonts w:asciiTheme="minorHAnsi" w:hAnsiTheme="minorHAnsi" w:cstheme="minorHAnsi"/>
        </w:rPr>
        <w:t>relevant site staff</w:t>
      </w:r>
      <w:r w:rsidR="00D648D2" w:rsidRPr="00E43935">
        <w:rPr>
          <w:rFonts w:asciiTheme="minorHAnsi" w:hAnsiTheme="minorHAnsi" w:cstheme="minorHAnsi"/>
        </w:rPr>
        <w:t xml:space="preserve"> within 21 </w:t>
      </w:r>
      <w:r w:rsidR="00833A10" w:rsidRPr="00E43935">
        <w:rPr>
          <w:rFonts w:asciiTheme="minorHAnsi" w:hAnsiTheme="minorHAnsi" w:cstheme="minorHAnsi"/>
        </w:rPr>
        <w:t xml:space="preserve">calendar </w:t>
      </w:r>
      <w:r w:rsidR="00D648D2" w:rsidRPr="00E43935">
        <w:rPr>
          <w:rFonts w:asciiTheme="minorHAnsi" w:hAnsiTheme="minorHAnsi" w:cstheme="minorHAnsi"/>
        </w:rPr>
        <w:t xml:space="preserve">days of the </w:t>
      </w:r>
      <w:r>
        <w:rPr>
          <w:rFonts w:asciiTheme="minorHAnsi" w:hAnsiTheme="minorHAnsi" w:cstheme="minorHAnsi"/>
        </w:rPr>
        <w:t xml:space="preserve">on-site </w:t>
      </w:r>
      <w:r w:rsidR="00D648D2" w:rsidRPr="00E43935">
        <w:rPr>
          <w:rFonts w:asciiTheme="minorHAnsi" w:hAnsiTheme="minorHAnsi" w:cstheme="minorHAnsi"/>
        </w:rPr>
        <w:t xml:space="preserve">monitoring visit. </w:t>
      </w:r>
      <w:r>
        <w:rPr>
          <w:rFonts w:asciiTheme="minorHAnsi" w:hAnsiTheme="minorHAnsi" w:cstheme="minorHAnsi"/>
        </w:rPr>
        <w:t xml:space="preserve">Remote Monitoring Visit reports will be produced by the monitor and sent to the site for action. </w:t>
      </w:r>
    </w:p>
    <w:p w14:paraId="2BE4BF91" w14:textId="6B834991" w:rsidR="00833A10" w:rsidRPr="00E43935" w:rsidRDefault="008625F6" w:rsidP="00E43935">
      <w:pPr>
        <w:pStyle w:val="ListParagraph"/>
        <w:spacing w:before="240" w:after="0"/>
        <w:ind w:left="0"/>
        <w:jc w:val="both"/>
        <w:rPr>
          <w:rFonts w:asciiTheme="minorHAnsi" w:hAnsiTheme="minorHAnsi" w:cstheme="minorHAnsi"/>
        </w:rPr>
      </w:pPr>
      <w:r>
        <w:rPr>
          <w:rFonts w:asciiTheme="minorHAnsi" w:hAnsiTheme="minorHAnsi" w:cstheme="minorHAnsi"/>
        </w:rPr>
        <w:t xml:space="preserve">For on-site and remote monitoring visits, unless otherwise specified, </w:t>
      </w:r>
      <w:r w:rsidR="00D648D2" w:rsidRPr="00E43935">
        <w:rPr>
          <w:rFonts w:asciiTheme="minorHAnsi" w:hAnsiTheme="minorHAnsi" w:cstheme="minorHAnsi"/>
        </w:rPr>
        <w:t xml:space="preserve">the site must respond to the findings raised within </w:t>
      </w:r>
      <w:r w:rsidR="003E3FD5" w:rsidRPr="00E43935">
        <w:rPr>
          <w:rFonts w:asciiTheme="minorHAnsi" w:hAnsiTheme="minorHAnsi" w:cstheme="minorHAnsi"/>
        </w:rPr>
        <w:t>28 calendar days</w:t>
      </w:r>
      <w:r w:rsidR="00D648D2" w:rsidRPr="00E43935">
        <w:rPr>
          <w:rFonts w:asciiTheme="minorHAnsi" w:hAnsiTheme="minorHAnsi" w:cstheme="minorHAnsi"/>
        </w:rPr>
        <w:t>.</w:t>
      </w:r>
      <w:r>
        <w:rPr>
          <w:rFonts w:asciiTheme="minorHAnsi" w:hAnsiTheme="minorHAnsi" w:cstheme="minorHAnsi"/>
        </w:rPr>
        <w:t xml:space="preserve"> </w:t>
      </w:r>
      <w:r w:rsidR="00D648D2" w:rsidRPr="00E43935">
        <w:rPr>
          <w:rFonts w:asciiTheme="minorHAnsi" w:hAnsiTheme="minorHAnsi" w:cstheme="minorHAnsi"/>
        </w:rPr>
        <w:t xml:space="preserve">The response will be in the format of </w:t>
      </w:r>
      <w:r w:rsidR="00833A10" w:rsidRPr="00E43935">
        <w:rPr>
          <w:rFonts w:asciiTheme="minorHAnsi" w:hAnsiTheme="minorHAnsi" w:cstheme="minorHAnsi"/>
        </w:rPr>
        <w:t xml:space="preserve">the </w:t>
      </w:r>
      <w:r>
        <w:rPr>
          <w:rFonts w:asciiTheme="minorHAnsi" w:hAnsiTheme="minorHAnsi" w:cstheme="minorHAnsi"/>
        </w:rPr>
        <w:t xml:space="preserve">Corrective Action and Preventative Action (CAPA) </w:t>
      </w:r>
      <w:r w:rsidR="00833A10" w:rsidRPr="00E43935">
        <w:rPr>
          <w:rFonts w:asciiTheme="minorHAnsi" w:hAnsiTheme="minorHAnsi" w:cstheme="minorHAnsi"/>
        </w:rPr>
        <w:t>response document.</w:t>
      </w:r>
      <w:r>
        <w:rPr>
          <w:rFonts w:asciiTheme="minorHAnsi" w:hAnsiTheme="minorHAnsi" w:cstheme="minorHAnsi"/>
        </w:rPr>
        <w:t xml:space="preserve"> The monitor will review the responses and close out findings that have been satisfactorily resolved. Any unresolved findings/actions will be marked for additional review and additional actions may be requested from the site. </w:t>
      </w:r>
    </w:p>
    <w:p w14:paraId="0195EBD5" w14:textId="741940B5" w:rsidR="00D648D2" w:rsidRPr="00E43935" w:rsidRDefault="008625F6" w:rsidP="00E43935">
      <w:pPr>
        <w:pStyle w:val="ListParagraph"/>
        <w:spacing w:before="240" w:after="0"/>
        <w:ind w:left="0"/>
        <w:jc w:val="both"/>
        <w:rPr>
          <w:rFonts w:asciiTheme="minorHAnsi" w:hAnsiTheme="minorHAnsi" w:cstheme="minorHAnsi"/>
        </w:rPr>
      </w:pPr>
      <w:r>
        <w:rPr>
          <w:rFonts w:asciiTheme="minorHAnsi" w:hAnsiTheme="minorHAnsi" w:cstheme="minorHAnsi"/>
        </w:rPr>
        <w:t xml:space="preserve">Once all findings have been satisfactorily resolved, the monitor will closed the Monitoring Visit and CAPA Reports and inform the site. </w:t>
      </w:r>
      <w:r w:rsidR="00D648D2" w:rsidRPr="00E43935">
        <w:rPr>
          <w:rFonts w:asciiTheme="minorHAnsi" w:hAnsiTheme="minorHAnsi" w:cstheme="minorHAnsi"/>
        </w:rPr>
        <w:t>A signed copy of the report and responses must be kept in the Sponsor file and also in the</w:t>
      </w:r>
      <w:r w:rsidR="008A6886" w:rsidRPr="00E43935">
        <w:rPr>
          <w:rFonts w:asciiTheme="minorHAnsi" w:hAnsiTheme="minorHAnsi" w:cstheme="minorHAnsi"/>
        </w:rPr>
        <w:t xml:space="preserve"> </w:t>
      </w:r>
      <w:r w:rsidR="00D648D2" w:rsidRPr="00E43935">
        <w:rPr>
          <w:rFonts w:asciiTheme="minorHAnsi" w:hAnsiTheme="minorHAnsi" w:cstheme="minorHAnsi"/>
        </w:rPr>
        <w:t>Site File for reference.</w:t>
      </w:r>
    </w:p>
    <w:p w14:paraId="6F84E8CC" w14:textId="5D44062E" w:rsidR="00D648D2" w:rsidRPr="00E43935" w:rsidRDefault="00D648D2" w:rsidP="00A95FB2">
      <w:pPr>
        <w:pStyle w:val="Heading1"/>
        <w:numPr>
          <w:ilvl w:val="0"/>
          <w:numId w:val="0"/>
        </w:numPr>
        <w:ind w:left="426" w:hanging="426"/>
      </w:pPr>
      <w:bookmarkStart w:id="0" w:name="_GoBack"/>
      <w:bookmarkEnd w:id="0"/>
      <w:r w:rsidRPr="00E43935">
        <w:t>1</w:t>
      </w:r>
      <w:r w:rsidR="00070A52" w:rsidRPr="00E43935">
        <w:t>7</w:t>
      </w:r>
      <w:r w:rsidRPr="00E43935">
        <w:t>.</w:t>
      </w:r>
      <w:r w:rsidR="008A6886" w:rsidRPr="00E43935">
        <w:t xml:space="preserve"> </w:t>
      </w:r>
      <w:r w:rsidR="00BE4163">
        <w:tab/>
      </w:r>
      <w:r w:rsidRPr="00E43935">
        <w:t>Escalation of Issues</w:t>
      </w:r>
    </w:p>
    <w:p w14:paraId="58E3D092" w14:textId="169C859D" w:rsidR="00D648D2" w:rsidRPr="00E43935" w:rsidRDefault="008A27B4" w:rsidP="00E43935">
      <w:pPr>
        <w:spacing w:before="240" w:after="0"/>
        <w:jc w:val="both"/>
        <w:rPr>
          <w:rFonts w:asciiTheme="minorHAnsi" w:hAnsiTheme="minorHAnsi" w:cstheme="minorHAnsi"/>
          <w:iCs/>
        </w:rPr>
      </w:pPr>
      <w:r w:rsidRPr="00E43935">
        <w:rPr>
          <w:rFonts w:asciiTheme="minorHAnsi" w:hAnsiTheme="minorHAnsi" w:cstheme="minorHAnsi"/>
        </w:rPr>
        <w:t xml:space="preserve">Where there are significant non-compliance issues identified these must be highlighted to an appropriate member of the study team during the visit, documented in the monitoring report and followed up by written communication with the Principal and/or Chief Investigator as appropriate and the actions/resolutions documented. </w:t>
      </w:r>
      <w:r w:rsidRPr="00E43935">
        <w:rPr>
          <w:rFonts w:asciiTheme="minorHAnsi" w:hAnsiTheme="minorHAnsi" w:cstheme="minorHAnsi"/>
          <w:iCs/>
        </w:rPr>
        <w:t xml:space="preserve">Non-compliance will be escalated as per </w:t>
      </w:r>
      <w:r w:rsidRPr="008625F6">
        <w:rPr>
          <w:rFonts w:asciiTheme="minorHAnsi" w:hAnsiTheme="minorHAnsi" w:cstheme="minorHAnsi"/>
          <w:iCs/>
        </w:rPr>
        <w:t xml:space="preserve">SOP S-1016 </w:t>
      </w:r>
      <w:r w:rsidRPr="00E43935">
        <w:rPr>
          <w:rFonts w:asciiTheme="minorHAnsi" w:hAnsiTheme="minorHAnsi" w:cstheme="minorHAnsi"/>
          <w:iCs/>
        </w:rPr>
        <w:t xml:space="preserve">and in the case of a serious breach as per </w:t>
      </w:r>
      <w:r w:rsidRPr="00E43935">
        <w:rPr>
          <w:rFonts w:asciiTheme="minorHAnsi" w:hAnsiTheme="minorHAnsi" w:cstheme="minorHAnsi"/>
        </w:rPr>
        <w:t>SOP S</w:t>
      </w:r>
      <w:r w:rsidR="006A1C36">
        <w:rPr>
          <w:rFonts w:asciiTheme="minorHAnsi" w:hAnsiTheme="minorHAnsi" w:cstheme="minorHAnsi"/>
        </w:rPr>
        <w:t>-</w:t>
      </w:r>
      <w:r w:rsidRPr="00E43935">
        <w:rPr>
          <w:rFonts w:asciiTheme="minorHAnsi" w:hAnsiTheme="minorHAnsi" w:cstheme="minorHAnsi"/>
        </w:rPr>
        <w:t xml:space="preserve">1013. </w:t>
      </w:r>
      <w:r w:rsidR="008F6B1C" w:rsidRPr="00E43935">
        <w:rPr>
          <w:rFonts w:asciiTheme="minorHAnsi" w:hAnsiTheme="minorHAnsi" w:cstheme="minorHAnsi"/>
        </w:rPr>
        <w:t>T</w:t>
      </w:r>
      <w:r w:rsidR="00D648D2" w:rsidRPr="00E43935">
        <w:rPr>
          <w:rFonts w:asciiTheme="minorHAnsi" w:hAnsiTheme="minorHAnsi" w:cstheme="minorHAnsi"/>
        </w:rPr>
        <w:t xml:space="preserve">he resolution </w:t>
      </w:r>
      <w:r w:rsidR="008F6B1C" w:rsidRPr="00E43935">
        <w:rPr>
          <w:rFonts w:asciiTheme="minorHAnsi" w:hAnsiTheme="minorHAnsi" w:cstheme="minorHAnsi"/>
        </w:rPr>
        <w:t xml:space="preserve">should be </w:t>
      </w:r>
      <w:r w:rsidR="00D648D2" w:rsidRPr="00E43935">
        <w:rPr>
          <w:rFonts w:asciiTheme="minorHAnsi" w:hAnsiTheme="minorHAnsi" w:cstheme="minorHAnsi"/>
        </w:rPr>
        <w:t>followed up at the next visit to site.</w:t>
      </w:r>
    </w:p>
    <w:p w14:paraId="5D0061DB" w14:textId="77777777" w:rsidR="003E3FD5" w:rsidRPr="00E43935" w:rsidRDefault="003E3FD5" w:rsidP="00E43935">
      <w:pPr>
        <w:pStyle w:val="ListParagraph"/>
        <w:spacing w:after="0"/>
        <w:ind w:left="0"/>
        <w:jc w:val="both"/>
        <w:rPr>
          <w:rFonts w:asciiTheme="minorHAnsi" w:hAnsiTheme="minorHAnsi" w:cstheme="minorHAnsi"/>
        </w:rPr>
      </w:pPr>
    </w:p>
    <w:tbl>
      <w:tblPr>
        <w:tblStyle w:val="TableGrid"/>
        <w:tblW w:w="0" w:type="auto"/>
        <w:tblLook w:val="04A0" w:firstRow="1" w:lastRow="0" w:firstColumn="1" w:lastColumn="0" w:noHBand="0" w:noVBand="1"/>
        <w:tblDescription w:val="Table to provide detail about the author of the moniotring plan, their role and the version and date of the current moniotring plan"/>
      </w:tblPr>
      <w:tblGrid>
        <w:gridCol w:w="5240"/>
        <w:gridCol w:w="3776"/>
      </w:tblGrid>
      <w:tr w:rsidR="00FD4B68" w:rsidRPr="00E43935" w14:paraId="7C65488C" w14:textId="77777777" w:rsidTr="00A95FB2">
        <w:trPr>
          <w:tblHeader/>
        </w:trPr>
        <w:tc>
          <w:tcPr>
            <w:tcW w:w="5240" w:type="dxa"/>
          </w:tcPr>
          <w:p w14:paraId="72B6EB78" w14:textId="77777777" w:rsidR="00FD4B68" w:rsidRPr="00E43935" w:rsidRDefault="00FD4B68" w:rsidP="00E43935">
            <w:pPr>
              <w:pStyle w:val="ListParagraph"/>
              <w:spacing w:after="0"/>
              <w:ind w:left="0"/>
              <w:jc w:val="both"/>
              <w:rPr>
                <w:rFonts w:asciiTheme="minorHAnsi" w:hAnsiTheme="minorHAnsi" w:cstheme="minorHAnsi"/>
                <w:sz w:val="22"/>
                <w:szCs w:val="22"/>
                <w:u w:val="single"/>
              </w:rPr>
            </w:pPr>
            <w:r w:rsidRPr="00E43935">
              <w:rPr>
                <w:rFonts w:asciiTheme="minorHAnsi" w:hAnsiTheme="minorHAnsi" w:cstheme="minorHAnsi"/>
                <w:sz w:val="22"/>
                <w:szCs w:val="22"/>
              </w:rPr>
              <w:t>Monitoring Plan Author (Print Name):</w:t>
            </w:r>
          </w:p>
        </w:tc>
        <w:tc>
          <w:tcPr>
            <w:tcW w:w="3776" w:type="dxa"/>
          </w:tcPr>
          <w:p w14:paraId="6E743D6C" w14:textId="303B214A" w:rsidR="00FD4B68" w:rsidRPr="00E43935" w:rsidRDefault="00FD4B68" w:rsidP="00E43935">
            <w:pPr>
              <w:pStyle w:val="ListParagraph"/>
              <w:spacing w:after="0"/>
              <w:ind w:left="0"/>
              <w:jc w:val="both"/>
              <w:rPr>
                <w:rFonts w:asciiTheme="minorHAnsi" w:hAnsiTheme="minorHAnsi" w:cstheme="minorHAnsi"/>
                <w:sz w:val="22"/>
                <w:szCs w:val="22"/>
              </w:rPr>
            </w:pPr>
          </w:p>
        </w:tc>
      </w:tr>
      <w:tr w:rsidR="00FD4B68" w:rsidRPr="00E43935" w14:paraId="48A65490" w14:textId="77777777" w:rsidTr="00E43935">
        <w:tc>
          <w:tcPr>
            <w:tcW w:w="5240" w:type="dxa"/>
          </w:tcPr>
          <w:p w14:paraId="549D2DDA" w14:textId="77777777" w:rsidR="00FD4B68" w:rsidRPr="00E43935" w:rsidRDefault="00FD4B68" w:rsidP="00E43935">
            <w:pPr>
              <w:pStyle w:val="ListParagraph"/>
              <w:spacing w:after="0"/>
              <w:ind w:left="0"/>
              <w:jc w:val="both"/>
              <w:rPr>
                <w:rFonts w:asciiTheme="minorHAnsi" w:hAnsiTheme="minorHAnsi" w:cstheme="minorHAnsi"/>
                <w:sz w:val="22"/>
                <w:szCs w:val="22"/>
                <w:u w:val="single"/>
              </w:rPr>
            </w:pPr>
            <w:r w:rsidRPr="00E43935">
              <w:rPr>
                <w:rFonts w:asciiTheme="minorHAnsi" w:hAnsiTheme="minorHAnsi" w:cstheme="minorHAnsi"/>
                <w:sz w:val="22"/>
                <w:szCs w:val="22"/>
              </w:rPr>
              <w:t>Role:</w:t>
            </w:r>
          </w:p>
        </w:tc>
        <w:tc>
          <w:tcPr>
            <w:tcW w:w="3776" w:type="dxa"/>
          </w:tcPr>
          <w:p w14:paraId="2CF4DBF0" w14:textId="6778EC5F" w:rsidR="00FD4B68" w:rsidRPr="00E43935" w:rsidRDefault="00FD4B68" w:rsidP="00E43935">
            <w:pPr>
              <w:pStyle w:val="ListParagraph"/>
              <w:spacing w:after="0"/>
              <w:ind w:left="0"/>
              <w:jc w:val="both"/>
              <w:rPr>
                <w:rFonts w:asciiTheme="minorHAnsi" w:hAnsiTheme="minorHAnsi" w:cstheme="minorHAnsi"/>
                <w:sz w:val="22"/>
                <w:szCs w:val="22"/>
              </w:rPr>
            </w:pPr>
          </w:p>
        </w:tc>
      </w:tr>
      <w:tr w:rsidR="00FD4B68" w:rsidRPr="00E43935" w14:paraId="3D9BA4B7" w14:textId="77777777" w:rsidTr="00BE4163">
        <w:tc>
          <w:tcPr>
            <w:tcW w:w="5240" w:type="dxa"/>
          </w:tcPr>
          <w:p w14:paraId="3006F201" w14:textId="77777777" w:rsidR="00FD4B68" w:rsidRPr="00E43935" w:rsidRDefault="00FD4B68" w:rsidP="00E43935">
            <w:pPr>
              <w:pStyle w:val="ListParagraph"/>
              <w:spacing w:after="0"/>
              <w:ind w:left="0"/>
              <w:jc w:val="both"/>
              <w:rPr>
                <w:rFonts w:asciiTheme="minorHAnsi" w:hAnsiTheme="minorHAnsi" w:cstheme="minorHAnsi"/>
                <w:sz w:val="22"/>
                <w:szCs w:val="22"/>
                <w:u w:val="single"/>
              </w:rPr>
            </w:pPr>
            <w:r w:rsidRPr="00E43935">
              <w:rPr>
                <w:rFonts w:asciiTheme="minorHAnsi" w:hAnsiTheme="minorHAnsi" w:cstheme="minorHAnsi"/>
                <w:sz w:val="22"/>
                <w:szCs w:val="22"/>
              </w:rPr>
              <w:t>Version and Date of Monitoring Plan:</w:t>
            </w:r>
          </w:p>
        </w:tc>
        <w:tc>
          <w:tcPr>
            <w:tcW w:w="3776" w:type="dxa"/>
            <w:shd w:val="clear" w:color="auto" w:fill="auto"/>
          </w:tcPr>
          <w:p w14:paraId="157ED41A" w14:textId="2510E635" w:rsidR="00FD4B68" w:rsidRPr="00E43935" w:rsidRDefault="00FD4B68" w:rsidP="00BE4163">
            <w:pPr>
              <w:pStyle w:val="ListParagraph"/>
              <w:spacing w:after="0"/>
              <w:ind w:left="0"/>
              <w:jc w:val="both"/>
              <w:rPr>
                <w:rFonts w:asciiTheme="minorHAnsi" w:hAnsiTheme="minorHAnsi" w:cstheme="minorHAnsi"/>
                <w:sz w:val="22"/>
                <w:szCs w:val="22"/>
              </w:rPr>
            </w:pPr>
          </w:p>
        </w:tc>
      </w:tr>
    </w:tbl>
    <w:p w14:paraId="5DA5C39A" w14:textId="77777777" w:rsidR="00FD4B68" w:rsidRPr="00E43935" w:rsidRDefault="00FD4B68" w:rsidP="00E43935">
      <w:pPr>
        <w:pStyle w:val="ListParagraph"/>
        <w:spacing w:after="0"/>
        <w:ind w:left="0"/>
        <w:jc w:val="both"/>
        <w:rPr>
          <w:rFonts w:asciiTheme="minorHAnsi" w:hAnsiTheme="minorHAnsi" w:cstheme="minorHAnsi"/>
        </w:rPr>
      </w:pPr>
    </w:p>
    <w:p w14:paraId="3B4DC5C2" w14:textId="7204CF23" w:rsidR="002D5314" w:rsidRPr="00E43935" w:rsidRDefault="00FD4B68" w:rsidP="00E43935">
      <w:pPr>
        <w:pStyle w:val="ListParagraph"/>
        <w:spacing w:after="0"/>
        <w:ind w:left="0"/>
        <w:jc w:val="both"/>
        <w:rPr>
          <w:rFonts w:asciiTheme="minorHAnsi" w:hAnsiTheme="minorHAnsi" w:cstheme="minorHAnsi"/>
        </w:rPr>
      </w:pPr>
      <w:r w:rsidRPr="00E43935">
        <w:rPr>
          <w:rFonts w:asciiTheme="minorHAnsi" w:hAnsiTheme="minorHAnsi" w:cstheme="minorHAnsi"/>
        </w:rPr>
        <w:lastRenderedPageBreak/>
        <w:t>Next Review: Annually</w:t>
      </w:r>
      <w:r w:rsidR="007B77FC" w:rsidRPr="00E43935">
        <w:rPr>
          <w:rFonts w:asciiTheme="minorHAnsi" w:hAnsiTheme="minorHAnsi" w:cstheme="minorHAnsi"/>
        </w:rPr>
        <w:t>, at the same time as DSUR submission</w:t>
      </w:r>
      <w:r w:rsidRPr="00E43935">
        <w:rPr>
          <w:rFonts w:asciiTheme="minorHAnsi" w:hAnsiTheme="minorHAnsi" w:cstheme="minorHAnsi"/>
        </w:rPr>
        <w:t xml:space="preserve"> or upon next substantial amendment</w:t>
      </w:r>
      <w:r w:rsidR="007B77FC" w:rsidRPr="00E43935">
        <w:rPr>
          <w:rFonts w:asciiTheme="minorHAnsi" w:hAnsiTheme="minorHAnsi" w:cstheme="minorHAnsi"/>
        </w:rPr>
        <w:t>.</w:t>
      </w:r>
    </w:p>
    <w:p w14:paraId="28B6D445" w14:textId="77777777" w:rsidR="00FD4B68" w:rsidRPr="00E43935" w:rsidRDefault="00FD4B68" w:rsidP="00E43935">
      <w:pPr>
        <w:spacing w:after="0"/>
        <w:jc w:val="both"/>
        <w:rPr>
          <w:rFonts w:asciiTheme="minorHAnsi" w:hAnsiTheme="minorHAnsi" w:cstheme="minorHAnsi"/>
          <w:b/>
          <w:bCs/>
          <w:lang w:val="en-US"/>
        </w:rPr>
      </w:pPr>
      <w:r w:rsidRPr="00E43935">
        <w:rPr>
          <w:rFonts w:asciiTheme="minorHAnsi" w:hAnsiTheme="minorHAnsi" w:cstheme="minorHAnsi"/>
          <w:b/>
          <w:bCs/>
          <w:lang w:val="en-US"/>
        </w:rPr>
        <w:t>Monitoring Plan Amendment History</w:t>
      </w:r>
    </w:p>
    <w:tbl>
      <w:tblPr>
        <w:tblStyle w:val="TableGrid1"/>
        <w:tblW w:w="9209" w:type="dxa"/>
        <w:tblLayout w:type="fixed"/>
        <w:tblLook w:val="04A0" w:firstRow="1" w:lastRow="0" w:firstColumn="1" w:lastColumn="0" w:noHBand="0" w:noVBand="1"/>
        <w:tblDescription w:val="Working table to be edited providing a list of changes to the studies monitoring plan. "/>
      </w:tblPr>
      <w:tblGrid>
        <w:gridCol w:w="1413"/>
        <w:gridCol w:w="1417"/>
        <w:gridCol w:w="993"/>
        <w:gridCol w:w="1275"/>
        <w:gridCol w:w="4111"/>
      </w:tblGrid>
      <w:tr w:rsidR="00FD4B68" w:rsidRPr="00E43935" w14:paraId="7DE34061" w14:textId="77777777" w:rsidTr="005A5389">
        <w:trPr>
          <w:tblHeader/>
        </w:trPr>
        <w:tc>
          <w:tcPr>
            <w:tcW w:w="1413" w:type="dxa"/>
          </w:tcPr>
          <w:p w14:paraId="08FA2E2A" w14:textId="77777777" w:rsidR="00FD4B68" w:rsidRPr="00E43935" w:rsidRDefault="00FD4B68" w:rsidP="00E43935">
            <w:pPr>
              <w:suppressAutoHyphens w:val="0"/>
              <w:autoSpaceDN/>
              <w:spacing w:after="0"/>
              <w:jc w:val="both"/>
              <w:textAlignment w:val="auto"/>
              <w:rPr>
                <w:rFonts w:asciiTheme="minorHAnsi" w:hAnsiTheme="minorHAnsi" w:cstheme="minorHAnsi"/>
                <w:b/>
                <w:sz w:val="22"/>
                <w:szCs w:val="22"/>
              </w:rPr>
            </w:pPr>
            <w:r w:rsidRPr="00E43935">
              <w:rPr>
                <w:rFonts w:asciiTheme="minorHAnsi" w:hAnsiTheme="minorHAnsi" w:cstheme="minorHAnsi"/>
                <w:b/>
                <w:sz w:val="22"/>
                <w:szCs w:val="22"/>
              </w:rPr>
              <w:t>Amendment No.</w:t>
            </w:r>
          </w:p>
        </w:tc>
        <w:tc>
          <w:tcPr>
            <w:tcW w:w="1417" w:type="dxa"/>
          </w:tcPr>
          <w:p w14:paraId="00C9C599" w14:textId="77777777" w:rsidR="00FD4B68" w:rsidRPr="00E43935" w:rsidRDefault="00FD4B68" w:rsidP="00E43935">
            <w:pPr>
              <w:suppressAutoHyphens w:val="0"/>
              <w:autoSpaceDN/>
              <w:spacing w:after="0"/>
              <w:jc w:val="both"/>
              <w:textAlignment w:val="auto"/>
              <w:rPr>
                <w:rFonts w:asciiTheme="minorHAnsi" w:hAnsiTheme="minorHAnsi" w:cstheme="minorHAnsi"/>
                <w:b/>
                <w:sz w:val="22"/>
                <w:szCs w:val="22"/>
              </w:rPr>
            </w:pPr>
            <w:r w:rsidRPr="00E43935">
              <w:rPr>
                <w:rFonts w:asciiTheme="minorHAnsi" w:hAnsiTheme="minorHAnsi" w:cstheme="minorHAnsi"/>
                <w:b/>
                <w:sz w:val="22"/>
                <w:szCs w:val="22"/>
              </w:rPr>
              <w:t>Monitoring Plan Version No.</w:t>
            </w:r>
          </w:p>
        </w:tc>
        <w:tc>
          <w:tcPr>
            <w:tcW w:w="993" w:type="dxa"/>
          </w:tcPr>
          <w:p w14:paraId="57AE24DF" w14:textId="77777777" w:rsidR="002959D0" w:rsidRPr="00E43935" w:rsidRDefault="00FD4B68" w:rsidP="00E43935">
            <w:pPr>
              <w:suppressAutoHyphens w:val="0"/>
              <w:autoSpaceDN/>
              <w:spacing w:after="0"/>
              <w:jc w:val="both"/>
              <w:textAlignment w:val="auto"/>
              <w:rPr>
                <w:rFonts w:asciiTheme="minorHAnsi" w:hAnsiTheme="minorHAnsi" w:cstheme="minorHAnsi"/>
                <w:b/>
                <w:sz w:val="22"/>
                <w:szCs w:val="22"/>
              </w:rPr>
            </w:pPr>
            <w:r w:rsidRPr="00E43935">
              <w:rPr>
                <w:rFonts w:asciiTheme="minorHAnsi" w:hAnsiTheme="minorHAnsi" w:cstheme="minorHAnsi"/>
                <w:b/>
                <w:sz w:val="22"/>
                <w:szCs w:val="22"/>
              </w:rPr>
              <w:t xml:space="preserve">Date </w:t>
            </w:r>
          </w:p>
          <w:p w14:paraId="4EC951E2" w14:textId="77777777" w:rsidR="00FD4B68" w:rsidRPr="00E43935" w:rsidRDefault="00FD4B68" w:rsidP="00E43935">
            <w:pPr>
              <w:suppressAutoHyphens w:val="0"/>
              <w:autoSpaceDN/>
              <w:spacing w:after="0"/>
              <w:jc w:val="both"/>
              <w:textAlignment w:val="auto"/>
              <w:rPr>
                <w:rFonts w:asciiTheme="minorHAnsi" w:hAnsiTheme="minorHAnsi" w:cstheme="minorHAnsi"/>
                <w:b/>
                <w:sz w:val="22"/>
                <w:szCs w:val="22"/>
              </w:rPr>
            </w:pPr>
            <w:r w:rsidRPr="00E43935">
              <w:rPr>
                <w:rFonts w:asciiTheme="minorHAnsi" w:hAnsiTheme="minorHAnsi" w:cstheme="minorHAnsi"/>
                <w:b/>
                <w:sz w:val="22"/>
                <w:szCs w:val="22"/>
              </w:rPr>
              <w:t>Issued</w:t>
            </w:r>
          </w:p>
        </w:tc>
        <w:tc>
          <w:tcPr>
            <w:tcW w:w="1275" w:type="dxa"/>
          </w:tcPr>
          <w:p w14:paraId="1C572C5C" w14:textId="77777777" w:rsidR="00FD4B68" w:rsidRPr="00E43935" w:rsidRDefault="00FD4B68" w:rsidP="00E43935">
            <w:pPr>
              <w:suppressAutoHyphens w:val="0"/>
              <w:autoSpaceDN/>
              <w:spacing w:after="0"/>
              <w:jc w:val="both"/>
              <w:textAlignment w:val="auto"/>
              <w:rPr>
                <w:rFonts w:asciiTheme="minorHAnsi" w:hAnsiTheme="minorHAnsi" w:cstheme="minorHAnsi"/>
                <w:b/>
                <w:sz w:val="22"/>
                <w:szCs w:val="22"/>
              </w:rPr>
            </w:pPr>
            <w:r w:rsidRPr="00E43935">
              <w:rPr>
                <w:rFonts w:asciiTheme="minorHAnsi" w:hAnsiTheme="minorHAnsi" w:cstheme="minorHAnsi"/>
                <w:b/>
                <w:sz w:val="22"/>
                <w:szCs w:val="22"/>
              </w:rPr>
              <w:t xml:space="preserve">Author(s) </w:t>
            </w:r>
          </w:p>
          <w:p w14:paraId="574D966B" w14:textId="77777777" w:rsidR="00FD4B68" w:rsidRPr="00E43935" w:rsidRDefault="00FD4B68" w:rsidP="00E43935">
            <w:pPr>
              <w:suppressAutoHyphens w:val="0"/>
              <w:autoSpaceDN/>
              <w:spacing w:after="0"/>
              <w:jc w:val="both"/>
              <w:textAlignment w:val="auto"/>
              <w:rPr>
                <w:rFonts w:asciiTheme="minorHAnsi" w:hAnsiTheme="minorHAnsi" w:cstheme="minorHAnsi"/>
                <w:b/>
                <w:sz w:val="22"/>
                <w:szCs w:val="22"/>
              </w:rPr>
            </w:pPr>
            <w:r w:rsidRPr="00E43935">
              <w:rPr>
                <w:rFonts w:asciiTheme="minorHAnsi" w:hAnsiTheme="minorHAnsi" w:cstheme="minorHAnsi"/>
                <w:b/>
                <w:sz w:val="22"/>
                <w:szCs w:val="22"/>
              </w:rPr>
              <w:t>of Changes</w:t>
            </w:r>
          </w:p>
        </w:tc>
        <w:tc>
          <w:tcPr>
            <w:tcW w:w="4111" w:type="dxa"/>
          </w:tcPr>
          <w:p w14:paraId="56906E45" w14:textId="77777777" w:rsidR="00FD4B68" w:rsidRPr="00E43935" w:rsidRDefault="00FD4B68" w:rsidP="00E43935">
            <w:pPr>
              <w:suppressAutoHyphens w:val="0"/>
              <w:autoSpaceDN/>
              <w:spacing w:after="0"/>
              <w:jc w:val="both"/>
              <w:textAlignment w:val="auto"/>
              <w:rPr>
                <w:rFonts w:asciiTheme="minorHAnsi" w:hAnsiTheme="minorHAnsi" w:cstheme="minorHAnsi"/>
                <w:b/>
                <w:sz w:val="22"/>
                <w:szCs w:val="22"/>
              </w:rPr>
            </w:pPr>
            <w:r w:rsidRPr="00E43935">
              <w:rPr>
                <w:rFonts w:asciiTheme="minorHAnsi" w:hAnsiTheme="minorHAnsi" w:cstheme="minorHAnsi"/>
                <w:b/>
                <w:sz w:val="22"/>
                <w:szCs w:val="22"/>
              </w:rPr>
              <w:t>Details of Changes Made</w:t>
            </w:r>
          </w:p>
        </w:tc>
      </w:tr>
      <w:tr w:rsidR="00FD4B68" w:rsidRPr="00E43935" w14:paraId="21F73828" w14:textId="77777777" w:rsidTr="00E43935">
        <w:tc>
          <w:tcPr>
            <w:tcW w:w="1413" w:type="dxa"/>
          </w:tcPr>
          <w:p w14:paraId="1229B7FC" w14:textId="77777777" w:rsidR="00FD4B68" w:rsidRPr="00E43935" w:rsidRDefault="00FD4B68" w:rsidP="00E43935">
            <w:pPr>
              <w:suppressAutoHyphens w:val="0"/>
              <w:autoSpaceDN/>
              <w:spacing w:after="0"/>
              <w:jc w:val="both"/>
              <w:textAlignment w:val="auto"/>
              <w:rPr>
                <w:rFonts w:asciiTheme="minorHAnsi" w:hAnsiTheme="minorHAnsi" w:cstheme="minorHAnsi"/>
                <w:sz w:val="22"/>
                <w:szCs w:val="22"/>
              </w:rPr>
            </w:pPr>
          </w:p>
        </w:tc>
        <w:tc>
          <w:tcPr>
            <w:tcW w:w="1417" w:type="dxa"/>
          </w:tcPr>
          <w:p w14:paraId="65840401" w14:textId="77777777" w:rsidR="00FD4B68" w:rsidRPr="00E43935" w:rsidRDefault="00FD4B68" w:rsidP="00E43935">
            <w:pPr>
              <w:suppressAutoHyphens w:val="0"/>
              <w:autoSpaceDN/>
              <w:spacing w:after="0"/>
              <w:jc w:val="both"/>
              <w:textAlignment w:val="auto"/>
              <w:rPr>
                <w:rFonts w:asciiTheme="minorHAnsi" w:hAnsiTheme="minorHAnsi" w:cstheme="minorHAnsi"/>
                <w:sz w:val="22"/>
                <w:szCs w:val="22"/>
              </w:rPr>
            </w:pPr>
          </w:p>
        </w:tc>
        <w:tc>
          <w:tcPr>
            <w:tcW w:w="993" w:type="dxa"/>
          </w:tcPr>
          <w:p w14:paraId="149A82D1" w14:textId="77777777" w:rsidR="00FD4B68" w:rsidRPr="00E43935" w:rsidRDefault="00FD4B68" w:rsidP="00E43935">
            <w:pPr>
              <w:suppressAutoHyphens w:val="0"/>
              <w:autoSpaceDN/>
              <w:spacing w:after="0"/>
              <w:jc w:val="both"/>
              <w:textAlignment w:val="auto"/>
              <w:rPr>
                <w:rFonts w:asciiTheme="minorHAnsi" w:hAnsiTheme="minorHAnsi" w:cstheme="minorHAnsi"/>
                <w:sz w:val="22"/>
                <w:szCs w:val="22"/>
              </w:rPr>
            </w:pPr>
          </w:p>
        </w:tc>
        <w:tc>
          <w:tcPr>
            <w:tcW w:w="1275" w:type="dxa"/>
          </w:tcPr>
          <w:p w14:paraId="06994759" w14:textId="77777777" w:rsidR="00FD4B68" w:rsidRPr="00E43935" w:rsidRDefault="00FD4B68" w:rsidP="00E43935">
            <w:pPr>
              <w:suppressAutoHyphens w:val="0"/>
              <w:autoSpaceDN/>
              <w:spacing w:after="0"/>
              <w:jc w:val="both"/>
              <w:textAlignment w:val="auto"/>
              <w:rPr>
                <w:rFonts w:asciiTheme="minorHAnsi" w:hAnsiTheme="minorHAnsi" w:cstheme="minorHAnsi"/>
                <w:sz w:val="22"/>
                <w:szCs w:val="22"/>
              </w:rPr>
            </w:pPr>
          </w:p>
        </w:tc>
        <w:tc>
          <w:tcPr>
            <w:tcW w:w="4111" w:type="dxa"/>
          </w:tcPr>
          <w:p w14:paraId="4152D662" w14:textId="77777777" w:rsidR="00FD4B68" w:rsidRPr="00E43935" w:rsidRDefault="00FD4B68" w:rsidP="00E43935">
            <w:pPr>
              <w:suppressAutoHyphens w:val="0"/>
              <w:autoSpaceDN/>
              <w:spacing w:after="0"/>
              <w:jc w:val="both"/>
              <w:textAlignment w:val="auto"/>
              <w:rPr>
                <w:rFonts w:asciiTheme="minorHAnsi" w:hAnsiTheme="minorHAnsi" w:cstheme="minorHAnsi"/>
                <w:sz w:val="22"/>
                <w:szCs w:val="22"/>
              </w:rPr>
            </w:pPr>
          </w:p>
        </w:tc>
      </w:tr>
    </w:tbl>
    <w:p w14:paraId="2432261B" w14:textId="0CDDC2DF" w:rsidR="00FD4B68" w:rsidRDefault="00FD4B68" w:rsidP="00E43935">
      <w:pPr>
        <w:spacing w:after="0"/>
        <w:jc w:val="both"/>
        <w:rPr>
          <w:rFonts w:asciiTheme="minorHAnsi" w:hAnsiTheme="minorHAnsi" w:cstheme="minorHAnsi"/>
          <w:b/>
          <w:bCs/>
          <w:lang w:val="en-US"/>
        </w:rPr>
      </w:pPr>
    </w:p>
    <w:p w14:paraId="328994AB" w14:textId="4A4B42BB" w:rsidR="008625F6" w:rsidRDefault="008625F6" w:rsidP="00E43935">
      <w:pPr>
        <w:spacing w:after="0"/>
        <w:jc w:val="both"/>
        <w:rPr>
          <w:rFonts w:asciiTheme="minorHAnsi" w:hAnsiTheme="minorHAnsi" w:cstheme="minorHAnsi"/>
          <w:b/>
          <w:bCs/>
          <w:lang w:val="en-US"/>
        </w:rPr>
      </w:pPr>
      <w:r>
        <w:rPr>
          <w:rFonts w:asciiTheme="minorHAnsi" w:hAnsiTheme="minorHAnsi" w:cstheme="minorHAnsi"/>
          <w:b/>
          <w:bCs/>
          <w:lang w:val="en-US"/>
        </w:rPr>
        <w:t>Record of Monitoring Visits Completed</w:t>
      </w:r>
    </w:p>
    <w:p w14:paraId="444BEED4" w14:textId="77777777" w:rsidR="008625F6" w:rsidRDefault="008625F6" w:rsidP="00E43935">
      <w:pPr>
        <w:spacing w:after="0"/>
        <w:jc w:val="both"/>
        <w:rPr>
          <w:rFonts w:asciiTheme="minorHAnsi" w:hAnsiTheme="minorHAnsi" w:cstheme="minorHAnsi"/>
          <w:b/>
          <w:bCs/>
          <w:lang w:val="en-US"/>
        </w:rPr>
      </w:pPr>
    </w:p>
    <w:p w14:paraId="2310285D" w14:textId="4FA38CDD" w:rsidR="008625F6" w:rsidRPr="008625F6" w:rsidRDefault="008625F6" w:rsidP="00E43935">
      <w:pPr>
        <w:spacing w:after="0"/>
        <w:jc w:val="both"/>
        <w:rPr>
          <w:rFonts w:asciiTheme="minorHAnsi" w:hAnsiTheme="minorHAnsi" w:cstheme="minorHAnsi"/>
          <w:b/>
          <w:bCs/>
          <w:i/>
          <w:color w:val="00B0F0"/>
          <w:lang w:val="en-US"/>
        </w:rPr>
      </w:pPr>
      <w:r w:rsidRPr="008625F6">
        <w:rPr>
          <w:rFonts w:asciiTheme="minorHAnsi" w:hAnsiTheme="minorHAnsi" w:cstheme="minorHAnsi"/>
          <w:b/>
          <w:bCs/>
          <w:i/>
          <w:color w:val="00B0F0"/>
          <w:lang w:val="en-US"/>
        </w:rPr>
        <w:t>&lt;Append a record of monitoring visits completed at the end of the trial or upon each review of the Monitoring Plan&gt;</w:t>
      </w:r>
    </w:p>
    <w:sectPr w:rsidR="008625F6" w:rsidRPr="008625F6" w:rsidSect="008E1BD1">
      <w:headerReference w:type="default" r:id="rId8"/>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194B3" w14:textId="77777777" w:rsidR="007151CF" w:rsidRDefault="007151CF" w:rsidP="008E1BD1">
      <w:pPr>
        <w:spacing w:after="0" w:line="240" w:lineRule="auto"/>
      </w:pPr>
      <w:r>
        <w:separator/>
      </w:r>
    </w:p>
  </w:endnote>
  <w:endnote w:type="continuationSeparator" w:id="0">
    <w:p w14:paraId="6EE0FC3B" w14:textId="77777777" w:rsidR="007151CF" w:rsidRDefault="007151CF" w:rsidP="008E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636171"/>
      <w:docPartObj>
        <w:docPartGallery w:val="Page Numbers (Bottom of Page)"/>
        <w:docPartUnique/>
      </w:docPartObj>
    </w:sdtPr>
    <w:sdtEndPr/>
    <w:sdtContent>
      <w:sdt>
        <w:sdtPr>
          <w:id w:val="-1769616900"/>
          <w:docPartObj>
            <w:docPartGallery w:val="Page Numbers (Top of Page)"/>
            <w:docPartUnique/>
          </w:docPartObj>
        </w:sdtPr>
        <w:sdtEndPr/>
        <w:sdtContent>
          <w:p w14:paraId="277F16B5" w14:textId="4AC5D792" w:rsidR="00A77BEC" w:rsidRDefault="00A77B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77E1">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77E1">
              <w:rPr>
                <w:b/>
                <w:bCs/>
                <w:noProof/>
              </w:rPr>
              <w:t>10</w:t>
            </w:r>
            <w:r>
              <w:rPr>
                <w:b/>
                <w:bCs/>
                <w:sz w:val="24"/>
                <w:szCs w:val="24"/>
              </w:rPr>
              <w:fldChar w:fldCharType="end"/>
            </w:r>
          </w:p>
        </w:sdtContent>
      </w:sdt>
    </w:sdtContent>
  </w:sdt>
  <w:p w14:paraId="26EA4BB1" w14:textId="326B79DA" w:rsidR="00A77BEC" w:rsidRDefault="008154F7" w:rsidP="00A77BEC">
    <w:pPr>
      <w:pStyle w:val="Footer"/>
    </w:pPr>
    <w:r>
      <w:t>SOP S-1007_</w:t>
    </w:r>
    <w:r w:rsidR="00C619B2" w:rsidRPr="00C619B2">
      <w:t>Appendix 10</w:t>
    </w:r>
    <w:r>
      <w:t>_</w:t>
    </w:r>
    <w:r w:rsidR="00C619B2" w:rsidRPr="00C619B2">
      <w:t>Monitoring Plan - Non-CE Marked Medical Device_v1.0_FEB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59A35" w14:textId="77777777" w:rsidR="007151CF" w:rsidRDefault="007151CF" w:rsidP="008E1BD1">
      <w:pPr>
        <w:spacing w:after="0" w:line="240" w:lineRule="auto"/>
      </w:pPr>
      <w:r w:rsidRPr="008E1BD1">
        <w:rPr>
          <w:color w:val="000000"/>
        </w:rPr>
        <w:separator/>
      </w:r>
    </w:p>
  </w:footnote>
  <w:footnote w:type="continuationSeparator" w:id="0">
    <w:p w14:paraId="41E8F758" w14:textId="77777777" w:rsidR="007151CF" w:rsidRDefault="007151CF" w:rsidP="008E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2C1D" w14:textId="77777777" w:rsidR="00DC2318" w:rsidRPr="00A77BEC" w:rsidRDefault="00DC2318" w:rsidP="00DC2318">
    <w:pPr>
      <w:pStyle w:val="Footer"/>
      <w:jc w:val="center"/>
      <w:rPr>
        <w:b/>
      </w:rPr>
    </w:pPr>
    <w:r>
      <w:rPr>
        <w:b/>
      </w:rPr>
      <w:t xml:space="preserve">&lt;Sponsor </w:t>
    </w:r>
    <w:proofErr w:type="spellStart"/>
    <w:r>
      <w:rPr>
        <w:b/>
      </w:rPr>
      <w:t>Ref_Short</w:t>
    </w:r>
    <w:proofErr w:type="spellEnd"/>
    <w:r>
      <w:rPr>
        <w:b/>
      </w:rPr>
      <w:t xml:space="preserve"> </w:t>
    </w:r>
    <w:proofErr w:type="spellStart"/>
    <w:r>
      <w:rPr>
        <w:b/>
      </w:rPr>
      <w:t>Title_Monitoring</w:t>
    </w:r>
    <w:proofErr w:type="spellEnd"/>
    <w:r>
      <w:rPr>
        <w:b/>
      </w:rPr>
      <w:t xml:space="preserve"> </w:t>
    </w:r>
    <w:proofErr w:type="spellStart"/>
    <w:r>
      <w:rPr>
        <w:b/>
      </w:rPr>
      <w:t>Plan_vx.x_DD</w:t>
    </w:r>
    <w:proofErr w:type="spellEnd"/>
    <w:r>
      <w:rPr>
        <w:b/>
      </w:rPr>
      <w:t>-MM-YYYY&gt;</w:t>
    </w:r>
  </w:p>
  <w:p w14:paraId="4ECB3F51" w14:textId="77777777" w:rsidR="00DC2318" w:rsidRDefault="00DC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hybridMultilevel"/>
    <w:tmpl w:val="3252C5CE"/>
    <w:lvl w:ilvl="0" w:tplc="29F88B1E">
      <w:start w:val="1"/>
      <w:numFmt w:val="decimal"/>
      <w:lvlText w:val="%1."/>
      <w:lvlJc w:val="left"/>
      <w:pPr>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1D"/>
    <w:multiLevelType w:val="hybridMultilevel"/>
    <w:tmpl w:val="684A703E"/>
    <w:lvl w:ilvl="0" w:tplc="62D03CEC">
      <w:start w:val="1"/>
      <w:numFmt w:val="decimal"/>
      <w:lvlText w:val="%1."/>
      <w:lvlJc w:val="left"/>
      <w:pPr>
        <w:ind w:left="720" w:hanging="360"/>
      </w:pPr>
      <w:rPr>
        <w:rFonts w:cs="Times New Roman"/>
        <w:b/>
        <w:sz w:val="24"/>
      </w:rPr>
    </w:lvl>
    <w:lvl w:ilvl="1" w:tplc="00000AF2">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1E"/>
    <w:multiLevelType w:val="hybridMultilevel"/>
    <w:tmpl w:val="1FC89BC2"/>
    <w:lvl w:ilvl="0" w:tplc="1CF2BCDE">
      <w:start w:val="5"/>
      <w:numFmt w:val="decimal"/>
      <w:lvlText w:val="%1."/>
      <w:lvlJc w:val="left"/>
      <w:pPr>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5036566"/>
    <w:multiLevelType w:val="hybridMultilevel"/>
    <w:tmpl w:val="726644C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056E0A90"/>
    <w:multiLevelType w:val="hybridMultilevel"/>
    <w:tmpl w:val="EF54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F36C5"/>
    <w:multiLevelType w:val="hybridMultilevel"/>
    <w:tmpl w:val="DBA2907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21306D55"/>
    <w:multiLevelType w:val="hybridMultilevel"/>
    <w:tmpl w:val="5F84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D2886"/>
    <w:multiLevelType w:val="hybridMultilevel"/>
    <w:tmpl w:val="AA200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8241661"/>
    <w:multiLevelType w:val="hybridMultilevel"/>
    <w:tmpl w:val="7E0860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31CC1F18"/>
    <w:multiLevelType w:val="hybridMultilevel"/>
    <w:tmpl w:val="4BF428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382641DD"/>
    <w:multiLevelType w:val="hybridMultilevel"/>
    <w:tmpl w:val="5032E422"/>
    <w:lvl w:ilvl="0" w:tplc="72AE07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F2C19"/>
    <w:multiLevelType w:val="hybridMultilevel"/>
    <w:tmpl w:val="D1D808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0255C6"/>
    <w:multiLevelType w:val="hybridMultilevel"/>
    <w:tmpl w:val="B93E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53422"/>
    <w:multiLevelType w:val="hybridMultilevel"/>
    <w:tmpl w:val="BDFAB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D11E0"/>
    <w:multiLevelType w:val="hybridMultilevel"/>
    <w:tmpl w:val="F214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81FE5"/>
    <w:multiLevelType w:val="hybridMultilevel"/>
    <w:tmpl w:val="1642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0243D"/>
    <w:multiLevelType w:val="hybridMultilevel"/>
    <w:tmpl w:val="C36C81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F30D54"/>
    <w:multiLevelType w:val="multilevel"/>
    <w:tmpl w:val="F8A0DE64"/>
    <w:lvl w:ilvl="0">
      <w:start w:val="1"/>
      <w:numFmt w:val="decimal"/>
      <w:lvlText w:val="%1."/>
      <w:lvlJc w:val="left"/>
      <w:pPr>
        <w:ind w:left="360" w:hanging="360"/>
      </w:pPr>
      <w:rPr>
        <w:rFonts w:ascii="Arial" w:eastAsia="Times New Roman" w:hAnsi="Arial"/>
        <w:b/>
        <w:bCs/>
        <w:sz w:val="28"/>
        <w:szCs w:val="28"/>
      </w:rPr>
    </w:lvl>
    <w:lvl w:ilvl="1">
      <w:start w:val="1"/>
      <w:numFmt w:val="decimal"/>
      <w:pStyle w:val="Heading2"/>
      <w:lvlText w:val="%1.%2"/>
      <w:lvlJc w:val="left"/>
      <w:pPr>
        <w:ind w:left="720" w:hanging="720"/>
      </w:pPr>
    </w:lvl>
    <w:lvl w:ilvl="2">
      <w:start w:val="1"/>
      <w:numFmt w:val="decimal"/>
      <w:lvlText w:val="%1.%2.%3"/>
      <w:lvlJc w:val="left"/>
      <w:pPr>
        <w:ind w:left="143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59E6011"/>
    <w:multiLevelType w:val="hybridMultilevel"/>
    <w:tmpl w:val="90AA51B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69BA47A9"/>
    <w:multiLevelType w:val="hybridMultilevel"/>
    <w:tmpl w:val="709EDB3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6CC06354"/>
    <w:multiLevelType w:val="hybridMultilevel"/>
    <w:tmpl w:val="D22464FE"/>
    <w:lvl w:ilvl="0" w:tplc="01BE1FA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CB6497"/>
    <w:multiLevelType w:val="hybridMultilevel"/>
    <w:tmpl w:val="776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6E7F54"/>
    <w:multiLevelType w:val="hybridMultilevel"/>
    <w:tmpl w:val="CD96B322"/>
    <w:lvl w:ilvl="0" w:tplc="00000579">
      <w:start w:val="1"/>
      <w:numFmt w:val="lowerLetter"/>
      <w:lvlText w:val="%1."/>
      <w:lvlJc w:val="left"/>
      <w:pPr>
        <w:ind w:left="720" w:hanging="360"/>
      </w:pPr>
      <w:rPr>
        <w:rFonts w:cs="Times New Roman"/>
      </w:rPr>
    </w:lvl>
    <w:lvl w:ilvl="1" w:tplc="9496B196">
      <w:start w:val="1"/>
      <w:numFmt w:val="decimal"/>
      <w:lvlText w:val="%2)"/>
      <w:lvlJc w:val="left"/>
      <w:pPr>
        <w:tabs>
          <w:tab w:val="num" w:pos="1665"/>
        </w:tabs>
        <w:ind w:left="1665" w:hanging="585"/>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8"/>
  </w:num>
  <w:num w:numId="3">
    <w:abstractNumId w:val="19"/>
  </w:num>
  <w:num w:numId="4">
    <w:abstractNumId w:val="9"/>
  </w:num>
  <w:num w:numId="5">
    <w:abstractNumId w:val="20"/>
  </w:num>
  <w:num w:numId="6">
    <w:abstractNumId w:val="0"/>
  </w:num>
  <w:num w:numId="7">
    <w:abstractNumId w:val="22"/>
  </w:num>
  <w:num w:numId="8">
    <w:abstractNumId w:val="7"/>
  </w:num>
  <w:num w:numId="9">
    <w:abstractNumId w:val="1"/>
  </w:num>
  <w:num w:numId="10">
    <w:abstractNumId w:val="2"/>
  </w:num>
  <w:num w:numId="11">
    <w:abstractNumId w:val="11"/>
  </w:num>
  <w:num w:numId="12">
    <w:abstractNumId w:val="16"/>
  </w:num>
  <w:num w:numId="13">
    <w:abstractNumId w:val="18"/>
  </w:num>
  <w:num w:numId="14">
    <w:abstractNumId w:val="3"/>
  </w:num>
  <w:num w:numId="15">
    <w:abstractNumId w:val="5"/>
  </w:num>
  <w:num w:numId="16">
    <w:abstractNumId w:val="13"/>
  </w:num>
  <w:num w:numId="17">
    <w:abstractNumId w:val="14"/>
  </w:num>
  <w:num w:numId="18">
    <w:abstractNumId w:val="12"/>
  </w:num>
  <w:num w:numId="19">
    <w:abstractNumId w:val="10"/>
  </w:num>
  <w:num w:numId="20">
    <w:abstractNumId w:val="6"/>
  </w:num>
  <w:num w:numId="21">
    <w:abstractNumId w:val="15"/>
  </w:num>
  <w:num w:numId="22">
    <w:abstractNumId w:val="21"/>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D1"/>
    <w:rsid w:val="00001A69"/>
    <w:rsid w:val="000062E8"/>
    <w:rsid w:val="00027FA7"/>
    <w:rsid w:val="00036272"/>
    <w:rsid w:val="0005114F"/>
    <w:rsid w:val="00063F44"/>
    <w:rsid w:val="00070A52"/>
    <w:rsid w:val="0007541C"/>
    <w:rsid w:val="00077A4D"/>
    <w:rsid w:val="0008232E"/>
    <w:rsid w:val="00090173"/>
    <w:rsid w:val="000B2CA7"/>
    <w:rsid w:val="000C1C2B"/>
    <w:rsid w:val="000C47E6"/>
    <w:rsid w:val="000D2FE0"/>
    <w:rsid w:val="000E2A72"/>
    <w:rsid w:val="000F039B"/>
    <w:rsid w:val="000F5CD8"/>
    <w:rsid w:val="000F78B5"/>
    <w:rsid w:val="001002E5"/>
    <w:rsid w:val="001148FF"/>
    <w:rsid w:val="00122F1A"/>
    <w:rsid w:val="001404E5"/>
    <w:rsid w:val="0014622D"/>
    <w:rsid w:val="0016638F"/>
    <w:rsid w:val="001708BE"/>
    <w:rsid w:val="00185B5E"/>
    <w:rsid w:val="0018723C"/>
    <w:rsid w:val="001A3379"/>
    <w:rsid w:val="001A6A12"/>
    <w:rsid w:val="001B2C34"/>
    <w:rsid w:val="001B6CEF"/>
    <w:rsid w:val="001C503C"/>
    <w:rsid w:val="001F731E"/>
    <w:rsid w:val="00201D70"/>
    <w:rsid w:val="002070D3"/>
    <w:rsid w:val="00236ADE"/>
    <w:rsid w:val="0026636D"/>
    <w:rsid w:val="00271157"/>
    <w:rsid w:val="00274F9B"/>
    <w:rsid w:val="00277B7F"/>
    <w:rsid w:val="00292DEC"/>
    <w:rsid w:val="002959D0"/>
    <w:rsid w:val="002A4DEE"/>
    <w:rsid w:val="002B505C"/>
    <w:rsid w:val="002C07B1"/>
    <w:rsid w:val="002D2ACD"/>
    <w:rsid w:val="002D4782"/>
    <w:rsid w:val="002D5314"/>
    <w:rsid w:val="002D5611"/>
    <w:rsid w:val="00302CC2"/>
    <w:rsid w:val="0032307A"/>
    <w:rsid w:val="00347F69"/>
    <w:rsid w:val="00350046"/>
    <w:rsid w:val="00392E4F"/>
    <w:rsid w:val="003A0AAD"/>
    <w:rsid w:val="003B03B0"/>
    <w:rsid w:val="003B054C"/>
    <w:rsid w:val="003B2667"/>
    <w:rsid w:val="003B77E1"/>
    <w:rsid w:val="003D0C6F"/>
    <w:rsid w:val="003E349F"/>
    <w:rsid w:val="003E3FD5"/>
    <w:rsid w:val="003E725A"/>
    <w:rsid w:val="00424A9E"/>
    <w:rsid w:val="00440B60"/>
    <w:rsid w:val="00450E39"/>
    <w:rsid w:val="0045271F"/>
    <w:rsid w:val="004676CC"/>
    <w:rsid w:val="00476F30"/>
    <w:rsid w:val="004A06C6"/>
    <w:rsid w:val="004A4B09"/>
    <w:rsid w:val="004C2E6A"/>
    <w:rsid w:val="004E607B"/>
    <w:rsid w:val="004E7436"/>
    <w:rsid w:val="004F65AC"/>
    <w:rsid w:val="005114EA"/>
    <w:rsid w:val="00545343"/>
    <w:rsid w:val="00547725"/>
    <w:rsid w:val="00551625"/>
    <w:rsid w:val="00564865"/>
    <w:rsid w:val="00570D9C"/>
    <w:rsid w:val="00590B8B"/>
    <w:rsid w:val="005963B3"/>
    <w:rsid w:val="005A5389"/>
    <w:rsid w:val="005C031C"/>
    <w:rsid w:val="005D43BD"/>
    <w:rsid w:val="005F3C36"/>
    <w:rsid w:val="006041F4"/>
    <w:rsid w:val="00644EF9"/>
    <w:rsid w:val="00653792"/>
    <w:rsid w:val="00661AC7"/>
    <w:rsid w:val="00661D60"/>
    <w:rsid w:val="0067530A"/>
    <w:rsid w:val="00692969"/>
    <w:rsid w:val="00696974"/>
    <w:rsid w:val="006A1C36"/>
    <w:rsid w:val="006B3AA7"/>
    <w:rsid w:val="006B3B45"/>
    <w:rsid w:val="006B7659"/>
    <w:rsid w:val="006C44D5"/>
    <w:rsid w:val="006C7B30"/>
    <w:rsid w:val="006D1C5B"/>
    <w:rsid w:val="006D2FE1"/>
    <w:rsid w:val="006E3213"/>
    <w:rsid w:val="006E604B"/>
    <w:rsid w:val="0070403E"/>
    <w:rsid w:val="00707C69"/>
    <w:rsid w:val="0071251D"/>
    <w:rsid w:val="00713537"/>
    <w:rsid w:val="007151CF"/>
    <w:rsid w:val="00724DD9"/>
    <w:rsid w:val="00733771"/>
    <w:rsid w:val="007369A8"/>
    <w:rsid w:val="007819DC"/>
    <w:rsid w:val="00794EEF"/>
    <w:rsid w:val="007B77FC"/>
    <w:rsid w:val="008007DD"/>
    <w:rsid w:val="008102D4"/>
    <w:rsid w:val="008154F7"/>
    <w:rsid w:val="00817CEB"/>
    <w:rsid w:val="00817F8D"/>
    <w:rsid w:val="00823793"/>
    <w:rsid w:val="00833A10"/>
    <w:rsid w:val="00834D04"/>
    <w:rsid w:val="00847E87"/>
    <w:rsid w:val="00855173"/>
    <w:rsid w:val="0085752F"/>
    <w:rsid w:val="00860E9E"/>
    <w:rsid w:val="008625F6"/>
    <w:rsid w:val="00886733"/>
    <w:rsid w:val="008A27B4"/>
    <w:rsid w:val="008A5422"/>
    <w:rsid w:val="008A6886"/>
    <w:rsid w:val="008D1B37"/>
    <w:rsid w:val="008E1BD1"/>
    <w:rsid w:val="008F6903"/>
    <w:rsid w:val="008F6B1C"/>
    <w:rsid w:val="00906709"/>
    <w:rsid w:val="009124A3"/>
    <w:rsid w:val="00923580"/>
    <w:rsid w:val="009459BC"/>
    <w:rsid w:val="00945EEB"/>
    <w:rsid w:val="00951E90"/>
    <w:rsid w:val="009528F7"/>
    <w:rsid w:val="0096608A"/>
    <w:rsid w:val="00967CBE"/>
    <w:rsid w:val="00992B7D"/>
    <w:rsid w:val="009A02DA"/>
    <w:rsid w:val="009B1559"/>
    <w:rsid w:val="009D3A19"/>
    <w:rsid w:val="009D4016"/>
    <w:rsid w:val="009F2F1C"/>
    <w:rsid w:val="00A44841"/>
    <w:rsid w:val="00A7136D"/>
    <w:rsid w:val="00A73A81"/>
    <w:rsid w:val="00A77BEC"/>
    <w:rsid w:val="00A87FCF"/>
    <w:rsid w:val="00A9405D"/>
    <w:rsid w:val="00A95FB2"/>
    <w:rsid w:val="00A96982"/>
    <w:rsid w:val="00AD558E"/>
    <w:rsid w:val="00AD6435"/>
    <w:rsid w:val="00AE38CD"/>
    <w:rsid w:val="00AE426A"/>
    <w:rsid w:val="00AE7AD8"/>
    <w:rsid w:val="00B01349"/>
    <w:rsid w:val="00B506E0"/>
    <w:rsid w:val="00B52FB0"/>
    <w:rsid w:val="00B66AAB"/>
    <w:rsid w:val="00B712B0"/>
    <w:rsid w:val="00B71303"/>
    <w:rsid w:val="00B71A41"/>
    <w:rsid w:val="00B82077"/>
    <w:rsid w:val="00BA0185"/>
    <w:rsid w:val="00BA4C35"/>
    <w:rsid w:val="00BB5E0E"/>
    <w:rsid w:val="00BD5DD4"/>
    <w:rsid w:val="00BD7A8E"/>
    <w:rsid w:val="00BE4163"/>
    <w:rsid w:val="00C1223A"/>
    <w:rsid w:val="00C177D1"/>
    <w:rsid w:val="00C23730"/>
    <w:rsid w:val="00C37813"/>
    <w:rsid w:val="00C46E19"/>
    <w:rsid w:val="00C475F4"/>
    <w:rsid w:val="00C57227"/>
    <w:rsid w:val="00C619B2"/>
    <w:rsid w:val="00CB5982"/>
    <w:rsid w:val="00CB6EEB"/>
    <w:rsid w:val="00CE4AE2"/>
    <w:rsid w:val="00CF5CAE"/>
    <w:rsid w:val="00D10E83"/>
    <w:rsid w:val="00D169F6"/>
    <w:rsid w:val="00D2016F"/>
    <w:rsid w:val="00D45F14"/>
    <w:rsid w:val="00D46001"/>
    <w:rsid w:val="00D55F97"/>
    <w:rsid w:val="00D648D2"/>
    <w:rsid w:val="00D97528"/>
    <w:rsid w:val="00DA6431"/>
    <w:rsid w:val="00DB63C6"/>
    <w:rsid w:val="00DC2318"/>
    <w:rsid w:val="00DC546A"/>
    <w:rsid w:val="00DD5C52"/>
    <w:rsid w:val="00DE7765"/>
    <w:rsid w:val="00DF7BFA"/>
    <w:rsid w:val="00E07632"/>
    <w:rsid w:val="00E16626"/>
    <w:rsid w:val="00E263D6"/>
    <w:rsid w:val="00E32D63"/>
    <w:rsid w:val="00E43935"/>
    <w:rsid w:val="00E5442F"/>
    <w:rsid w:val="00E6190E"/>
    <w:rsid w:val="00E6796F"/>
    <w:rsid w:val="00E72E90"/>
    <w:rsid w:val="00E82478"/>
    <w:rsid w:val="00EA2669"/>
    <w:rsid w:val="00EA5ACC"/>
    <w:rsid w:val="00EC52F3"/>
    <w:rsid w:val="00ED3BCD"/>
    <w:rsid w:val="00EE616B"/>
    <w:rsid w:val="00EF2A18"/>
    <w:rsid w:val="00EF2E8F"/>
    <w:rsid w:val="00EF7357"/>
    <w:rsid w:val="00F00977"/>
    <w:rsid w:val="00F10581"/>
    <w:rsid w:val="00F12763"/>
    <w:rsid w:val="00F12D32"/>
    <w:rsid w:val="00F229F2"/>
    <w:rsid w:val="00F22A33"/>
    <w:rsid w:val="00F25255"/>
    <w:rsid w:val="00F318B5"/>
    <w:rsid w:val="00F37CE5"/>
    <w:rsid w:val="00F41D8D"/>
    <w:rsid w:val="00F8392A"/>
    <w:rsid w:val="00FC4D1A"/>
    <w:rsid w:val="00FC538E"/>
    <w:rsid w:val="00FD4B68"/>
    <w:rsid w:val="00FE44A3"/>
    <w:rsid w:val="00FF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960DB08"/>
  <w15:docId w15:val="{70480966-9E77-4F34-A0AD-A71B4C18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D1"/>
    <w:pPr>
      <w:suppressAutoHyphens/>
      <w:autoSpaceDN w:val="0"/>
      <w:spacing w:after="200" w:line="276" w:lineRule="auto"/>
      <w:textAlignment w:val="baseline"/>
    </w:pPr>
    <w:rPr>
      <w:rFonts w:cs="Calibri"/>
      <w:lang w:eastAsia="en-US"/>
    </w:rPr>
  </w:style>
  <w:style w:type="paragraph" w:styleId="Heading1">
    <w:name w:val="heading 1"/>
    <w:basedOn w:val="ListParagraph"/>
    <w:next w:val="Normal"/>
    <w:link w:val="Heading1Char"/>
    <w:uiPriority w:val="99"/>
    <w:qFormat/>
    <w:rsid w:val="00A95FB2"/>
    <w:pPr>
      <w:numPr>
        <w:numId w:val="5"/>
      </w:numPr>
      <w:spacing w:before="240" w:after="0"/>
      <w:ind w:left="426" w:hanging="426"/>
      <w:jc w:val="both"/>
      <w:outlineLvl w:val="0"/>
    </w:pPr>
    <w:rPr>
      <w:rFonts w:asciiTheme="minorHAnsi" w:hAnsiTheme="minorHAnsi" w:cstheme="minorHAnsi"/>
      <w:b/>
      <w:bCs/>
    </w:rPr>
  </w:style>
  <w:style w:type="paragraph" w:styleId="Heading2">
    <w:name w:val="heading 2"/>
    <w:basedOn w:val="ListParagraph"/>
    <w:next w:val="Normal"/>
    <w:link w:val="Heading2Char"/>
    <w:uiPriority w:val="99"/>
    <w:qFormat/>
    <w:rsid w:val="00A95FB2"/>
    <w:pPr>
      <w:numPr>
        <w:ilvl w:val="1"/>
        <w:numId w:val="1"/>
      </w:numPr>
      <w:spacing w:before="240" w:after="0"/>
      <w:jc w:val="both"/>
      <w:outlineLvl w:val="1"/>
    </w:pPr>
    <w:rPr>
      <w:rFonts w:asciiTheme="minorHAnsi" w:hAnsiTheme="minorHAnsi" w:cstheme="minorHAnsi"/>
    </w:rPr>
  </w:style>
  <w:style w:type="paragraph" w:styleId="Heading3">
    <w:name w:val="heading 3"/>
    <w:basedOn w:val="Normal"/>
    <w:next w:val="Normal"/>
    <w:link w:val="Heading3Char"/>
    <w:semiHidden/>
    <w:unhideWhenUsed/>
    <w:qFormat/>
    <w:locked/>
    <w:rsid w:val="002711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5FB2"/>
    <w:rPr>
      <w:rFonts w:asciiTheme="minorHAnsi" w:hAnsiTheme="minorHAnsi" w:cstheme="minorHAnsi"/>
      <w:b/>
      <w:bCs/>
      <w:lang w:eastAsia="en-US"/>
    </w:rPr>
  </w:style>
  <w:style w:type="character" w:customStyle="1" w:styleId="Heading2Char">
    <w:name w:val="Heading 2 Char"/>
    <w:basedOn w:val="DefaultParagraphFont"/>
    <w:link w:val="Heading2"/>
    <w:uiPriority w:val="99"/>
    <w:locked/>
    <w:rsid w:val="00A95FB2"/>
    <w:rPr>
      <w:rFonts w:asciiTheme="minorHAnsi" w:hAnsiTheme="minorHAnsi" w:cstheme="minorHAnsi"/>
      <w:lang w:eastAsia="en-US"/>
    </w:rPr>
  </w:style>
  <w:style w:type="paragraph" w:styleId="ListParagraph">
    <w:name w:val="List Paragraph"/>
    <w:basedOn w:val="Normal"/>
    <w:link w:val="ListParagraphChar"/>
    <w:uiPriority w:val="34"/>
    <w:qFormat/>
    <w:rsid w:val="008E1BD1"/>
    <w:pPr>
      <w:ind w:left="720"/>
    </w:pPr>
  </w:style>
  <w:style w:type="paragraph" w:styleId="TOCHeading">
    <w:name w:val="TOC Heading"/>
    <w:basedOn w:val="Heading1"/>
    <w:next w:val="Normal"/>
    <w:uiPriority w:val="99"/>
    <w:qFormat/>
    <w:rsid w:val="00661D60"/>
    <w:pPr>
      <w:keepLines/>
      <w:suppressAutoHyphens w:val="0"/>
      <w:autoSpaceDN/>
      <w:spacing w:before="480"/>
      <w:textAlignment w:val="auto"/>
      <w:outlineLvl w:val="9"/>
    </w:pPr>
    <w:rPr>
      <w:color w:val="365F91"/>
      <w:sz w:val="28"/>
      <w:szCs w:val="28"/>
      <w:lang w:val="en-US"/>
    </w:rPr>
  </w:style>
  <w:style w:type="paragraph" w:styleId="TOC2">
    <w:name w:val="toc 2"/>
    <w:basedOn w:val="Normal"/>
    <w:next w:val="Normal"/>
    <w:autoRedefine/>
    <w:uiPriority w:val="99"/>
    <w:semiHidden/>
    <w:rsid w:val="00661D60"/>
    <w:pPr>
      <w:ind w:left="220"/>
    </w:pPr>
  </w:style>
  <w:style w:type="character" w:styleId="Hyperlink">
    <w:name w:val="Hyperlink"/>
    <w:basedOn w:val="DefaultParagraphFont"/>
    <w:uiPriority w:val="99"/>
    <w:rsid w:val="00661D60"/>
    <w:rPr>
      <w:color w:val="0000FF"/>
      <w:u w:val="single"/>
    </w:rPr>
  </w:style>
  <w:style w:type="paragraph" w:styleId="BalloonText">
    <w:name w:val="Balloon Text"/>
    <w:basedOn w:val="Normal"/>
    <w:link w:val="BalloonTextChar"/>
    <w:uiPriority w:val="99"/>
    <w:semiHidden/>
    <w:rsid w:val="00952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28F7"/>
    <w:rPr>
      <w:rFonts w:ascii="Tahoma" w:hAnsi="Tahoma" w:cs="Tahoma"/>
      <w:sz w:val="16"/>
      <w:szCs w:val="16"/>
      <w:lang w:eastAsia="en-US"/>
    </w:rPr>
  </w:style>
  <w:style w:type="character" w:styleId="CommentReference">
    <w:name w:val="annotation reference"/>
    <w:basedOn w:val="DefaultParagraphFont"/>
    <w:uiPriority w:val="99"/>
    <w:semiHidden/>
    <w:rsid w:val="00AD558E"/>
    <w:rPr>
      <w:sz w:val="16"/>
      <w:szCs w:val="16"/>
    </w:rPr>
  </w:style>
  <w:style w:type="paragraph" w:styleId="CommentText">
    <w:name w:val="annotation text"/>
    <w:basedOn w:val="Normal"/>
    <w:link w:val="CommentTextChar"/>
    <w:uiPriority w:val="99"/>
    <w:semiHidden/>
    <w:rsid w:val="00AD55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D558E"/>
    <w:rPr>
      <w:lang w:eastAsia="en-US"/>
    </w:rPr>
  </w:style>
  <w:style w:type="paragraph" w:styleId="CommentSubject">
    <w:name w:val="annotation subject"/>
    <w:basedOn w:val="CommentText"/>
    <w:next w:val="CommentText"/>
    <w:link w:val="CommentSubjectChar"/>
    <w:uiPriority w:val="99"/>
    <w:semiHidden/>
    <w:rsid w:val="00AD558E"/>
    <w:rPr>
      <w:b/>
      <w:bCs/>
    </w:rPr>
  </w:style>
  <w:style w:type="character" w:customStyle="1" w:styleId="CommentSubjectChar">
    <w:name w:val="Comment Subject Char"/>
    <w:basedOn w:val="CommentTextChar"/>
    <w:link w:val="CommentSubject"/>
    <w:uiPriority w:val="99"/>
    <w:semiHidden/>
    <w:locked/>
    <w:rsid w:val="00AD558E"/>
    <w:rPr>
      <w:b/>
      <w:bCs/>
      <w:lang w:eastAsia="en-US"/>
    </w:rPr>
  </w:style>
  <w:style w:type="paragraph" w:styleId="Header">
    <w:name w:val="header"/>
    <w:basedOn w:val="Normal"/>
    <w:link w:val="HeaderChar"/>
    <w:uiPriority w:val="99"/>
    <w:rsid w:val="00A73A8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73A81"/>
    <w:rPr>
      <w:sz w:val="22"/>
      <w:szCs w:val="22"/>
      <w:lang w:eastAsia="en-US"/>
    </w:rPr>
  </w:style>
  <w:style w:type="paragraph" w:styleId="Footer">
    <w:name w:val="footer"/>
    <w:basedOn w:val="Normal"/>
    <w:link w:val="FooterChar"/>
    <w:uiPriority w:val="99"/>
    <w:rsid w:val="00A73A8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73A81"/>
    <w:rPr>
      <w:sz w:val="22"/>
      <w:szCs w:val="22"/>
      <w:lang w:eastAsia="en-US"/>
    </w:rPr>
  </w:style>
  <w:style w:type="paragraph" w:styleId="NoSpacing">
    <w:name w:val="No Spacing"/>
    <w:uiPriority w:val="99"/>
    <w:qFormat/>
    <w:rsid w:val="00277B7F"/>
    <w:pPr>
      <w:suppressAutoHyphens/>
      <w:autoSpaceDN w:val="0"/>
      <w:textAlignment w:val="baseline"/>
    </w:pPr>
    <w:rPr>
      <w:rFonts w:cs="Calibri"/>
      <w:lang w:eastAsia="en-US"/>
    </w:rPr>
  </w:style>
  <w:style w:type="table" w:styleId="TableGrid">
    <w:name w:val="Table Grid"/>
    <w:basedOn w:val="TableNormal"/>
    <w:uiPriority w:val="99"/>
    <w:rsid w:val="0007541C"/>
    <w:rPr>
      <w:rFonts w:ascii="Times New Roman" w:eastAsia="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D4B6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71157"/>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uiPriority w:val="99"/>
    <w:rsid w:val="0005114F"/>
    <w:pPr>
      <w:autoSpaceDE w:val="0"/>
      <w:autoSpaceDN w:val="0"/>
      <w:adjustRightInd w:val="0"/>
    </w:pPr>
    <w:rPr>
      <w:rFonts w:ascii="Verdana" w:eastAsia="MS Mincho" w:hAnsi="Verdana" w:cs="Verdana"/>
      <w:color w:val="000000"/>
      <w:sz w:val="24"/>
      <w:szCs w:val="24"/>
      <w:lang w:eastAsia="ja-JP"/>
    </w:rPr>
  </w:style>
  <w:style w:type="character" w:customStyle="1" w:styleId="ListParagraphChar">
    <w:name w:val="List Paragraph Char"/>
    <w:basedOn w:val="DefaultParagraphFont"/>
    <w:link w:val="ListParagraph"/>
    <w:uiPriority w:val="34"/>
    <w:locked/>
    <w:rsid w:val="0005114F"/>
    <w:rPr>
      <w:rFonts w:cs="Calibri"/>
      <w:lang w:eastAsia="en-US"/>
    </w:rPr>
  </w:style>
  <w:style w:type="paragraph" w:styleId="Title">
    <w:name w:val="Title"/>
    <w:basedOn w:val="Normal"/>
    <w:next w:val="Normal"/>
    <w:link w:val="TitleChar"/>
    <w:qFormat/>
    <w:locked/>
    <w:rsid w:val="00A95FB2"/>
    <w:pPr>
      <w:spacing w:after="0"/>
      <w:jc w:val="center"/>
    </w:pPr>
    <w:rPr>
      <w:rFonts w:asciiTheme="minorHAnsi" w:hAnsiTheme="minorHAnsi" w:cstheme="minorHAnsi"/>
      <w:b/>
      <w:bCs/>
      <w:sz w:val="28"/>
      <w:u w:val="single"/>
    </w:rPr>
  </w:style>
  <w:style w:type="character" w:customStyle="1" w:styleId="TitleChar">
    <w:name w:val="Title Char"/>
    <w:basedOn w:val="DefaultParagraphFont"/>
    <w:link w:val="Title"/>
    <w:rsid w:val="00A95FB2"/>
    <w:rPr>
      <w:rFonts w:asciiTheme="minorHAnsi" w:hAnsiTheme="minorHAnsi" w:cstheme="minorHAnsi"/>
      <w:b/>
      <w:bCs/>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3010</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Fitzpatrick, Claire</cp:lastModifiedBy>
  <cp:revision>11</cp:revision>
  <cp:lastPrinted>2018-08-31T13:42:00Z</cp:lastPrinted>
  <dcterms:created xsi:type="dcterms:W3CDTF">2021-02-12T14:22:00Z</dcterms:created>
  <dcterms:modified xsi:type="dcterms:W3CDTF">2022-04-11T11:23:00Z</dcterms:modified>
</cp:coreProperties>
</file>